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774769" w:rsidTr="00774769">
        <w:trPr>
          <w:cantSplit/>
        </w:trPr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keepNext/>
              <w:spacing w:before="120" w:after="120" w:line="276" w:lineRule="auto"/>
              <w:jc w:val="center"/>
            </w:pPr>
            <w:bookmarkStart w:id="0" w:name="_GoBack"/>
            <w:bookmarkEnd w:id="0"/>
            <w:r>
              <w:rPr>
                <w:rStyle w:val="Forte"/>
                <w:sz w:val="28"/>
                <w:szCs w:val="28"/>
              </w:rPr>
              <w:t>PLC 53/18 - Veto parcial – Interesse público e inconstitucionalidade</w:t>
            </w:r>
          </w:p>
        </w:tc>
      </w:tr>
      <w:tr w:rsidR="00774769" w:rsidTr="00774769">
        <w:trPr>
          <w:cantSplit/>
        </w:trPr>
        <w:tc>
          <w:tcPr>
            <w:tcW w:w="9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Style w:val="Forte"/>
              </w:rPr>
              <w:t>Art. 23, II - MF</w:t>
            </w:r>
          </w:p>
          <w:p w:rsidR="00774769" w:rsidRDefault="00774769">
            <w:pPr>
              <w:spacing w:before="100" w:beforeAutospacing="1" w:after="120" w:line="276" w:lineRule="auto"/>
              <w:ind w:left="114"/>
              <w:jc w:val="both"/>
              <w:rPr>
                <w:rStyle w:val="Forte"/>
              </w:rPr>
            </w:pPr>
            <w:r>
              <w:rPr>
                <w:rStyle w:val="Forte"/>
              </w:rPr>
              <w:t>Razões do veto</w:t>
            </w:r>
          </w:p>
          <w:p w:rsidR="00774769" w:rsidRDefault="00774769">
            <w:pPr>
              <w:ind w:left="78" w:firstLine="630"/>
            </w:pPr>
            <w:r>
              <w:t>   “O dispositivo veda o compartilhamento de dados pessoas no âmbito do Poder Público e com pessoas jurídicas de direto privado. Ocorre que o compartilhamento de informações relacionadas à pessoa natural identificada ou identificável é medida recorrente e essencial para o regular exercício de diversas atividades e políticas públicas. É o caso, por exemplo, do banco de dados da Previdência Social e do Cadastro Nacional de Informações Sociais, cujas informações são utilizadas para o reconhecimento do direito de seus beneficiários e alimentados a partir do compartilhamento de diversas bases de dados administrados por outros órgãos públicos. Ademais, algumas atividades afetas ao poder de polícia administrativa poderiam ser inviabilizadas, a exemplo de investigações no âmbito do Sistema Financeiro Nacional, dentre outras.”</w:t>
            </w:r>
          </w:p>
        </w:tc>
      </w:tr>
      <w:tr w:rsidR="00774769" w:rsidTr="00774769">
        <w:trPr>
          <w:cantSplit/>
        </w:trPr>
        <w:tc>
          <w:tcPr>
            <w:tcW w:w="9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  <w:lang w:val="en-US"/>
              </w:rPr>
            </w:pPr>
            <w:r>
              <w:rPr>
                <w:rStyle w:val="Forte"/>
                <w:lang w:val="en-US"/>
              </w:rPr>
              <w:t xml:space="preserve">Art. 26, §1º, II – MF e </w:t>
            </w:r>
            <w:proofErr w:type="spellStart"/>
            <w:r>
              <w:rPr>
                <w:rStyle w:val="Forte"/>
                <w:lang w:val="en-US"/>
              </w:rPr>
              <w:t>Bacen</w:t>
            </w:r>
            <w:proofErr w:type="spellEnd"/>
          </w:p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</w:rPr>
            </w:pPr>
            <w:r>
              <w:rPr>
                <w:rStyle w:val="Forte"/>
              </w:rPr>
              <w:t>Razões do veto</w:t>
            </w:r>
          </w:p>
          <w:p w:rsidR="00774769" w:rsidRDefault="00774769">
            <w:pPr>
              <w:pStyle w:val="PargrafodaLista"/>
              <w:spacing w:line="276" w:lineRule="auto"/>
              <w:ind w:firstLine="929"/>
            </w:pPr>
            <w:r>
              <w:rPr>
                <w:b/>
                <w:bCs/>
              </w:rPr>
              <w:t>“</w:t>
            </w:r>
            <w:r>
              <w:t>A redação do dispositivo exige que haja, cumulativamente, previsão legal e respaldo em contratos, convênios ou instrumentos congêneres para o compartilhamento de dados pessoais entre o Poder Público e entidades privadas. A cumulatividade da exigência estabelecida no dispositivo inviabiliza o funcionamento da Administração Pública, já que diversos procedimentos relativos à transferência de dados pessoais encontram-se detalhados em atos normativos infralegais, a exemplo do processamento da folha de pagamento dos servidores públicos em instituições financeiras privadas, a arrecadação de taxas e tributos e o pagamento de benefícios previdenciários e sociais, dentre outros.</w:t>
            </w:r>
            <w:r>
              <w:rPr>
                <w:b/>
                <w:bCs/>
              </w:rPr>
              <w:t>”</w:t>
            </w:r>
          </w:p>
        </w:tc>
      </w:tr>
      <w:tr w:rsidR="00774769" w:rsidTr="00774769">
        <w:trPr>
          <w:cantSplit/>
        </w:trPr>
        <w:tc>
          <w:tcPr>
            <w:tcW w:w="9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</w:rPr>
            </w:pPr>
            <w:r>
              <w:rPr>
                <w:rStyle w:val="Forte"/>
              </w:rPr>
              <w:t>Art. 28 – MF, MP e CGU</w:t>
            </w:r>
          </w:p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</w:rPr>
            </w:pPr>
            <w:r>
              <w:rPr>
                <w:rStyle w:val="Forte"/>
              </w:rPr>
              <w:t>Razão do veto</w:t>
            </w:r>
          </w:p>
          <w:p w:rsidR="00774769" w:rsidRDefault="00774769">
            <w:pPr>
              <w:spacing w:after="120"/>
              <w:ind w:firstLine="929"/>
            </w:pPr>
            <w:r>
              <w:t>   “A publicidade irrestrita da comunicação ou do uso compartilhado de dados pessoais entre órgãos e entidades de direito público, imposta pelo dispositivo, pode tornar inviável o exercício regular de algumas ações públicas como as de fiscalização, controle e polícia administrativa.”</w:t>
            </w:r>
          </w:p>
        </w:tc>
      </w:tr>
      <w:tr w:rsidR="00774769" w:rsidTr="00774769">
        <w:trPr>
          <w:cantSplit/>
        </w:trPr>
        <w:tc>
          <w:tcPr>
            <w:tcW w:w="9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</w:rPr>
            </w:pPr>
            <w:r>
              <w:rPr>
                <w:rStyle w:val="Forte"/>
              </w:rPr>
              <w:t>Art. 52, VII, VIII e IX – Bacen, MF, MS, MP e MCTIC</w:t>
            </w:r>
          </w:p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</w:rPr>
            </w:pPr>
            <w:r>
              <w:rPr>
                <w:rStyle w:val="Forte"/>
              </w:rPr>
              <w:t>Razões dos vetos</w:t>
            </w:r>
          </w:p>
          <w:p w:rsidR="00774769" w:rsidRDefault="00774769">
            <w:pPr>
              <w:spacing w:before="100" w:beforeAutospacing="1" w:after="120" w:line="276" w:lineRule="auto"/>
              <w:ind w:firstLine="1070"/>
            </w:pPr>
            <w:r>
              <w:rPr>
                <w:b/>
                <w:bCs/>
              </w:rPr>
              <w:t>  </w:t>
            </w:r>
            <w:r>
              <w:t>“As sanções administrativas de suspensão ou proibição do funcionamento/exercício da atividade relacionada ao tratamento de dados podem gerar insegurança aos responsáveis por essas informações, bem como impossibilitar a utilização e tratamento de bancos de dados essenciais a diversas atividades, a exemplo das aproveitadas pelas instituições financeiras, dentre outras, podendo acarretar prejuízo à estabilidade do sistema financeiro nacional.”</w:t>
            </w:r>
          </w:p>
        </w:tc>
      </w:tr>
      <w:tr w:rsidR="00774769" w:rsidTr="00774769">
        <w:trPr>
          <w:cantSplit/>
        </w:trPr>
        <w:tc>
          <w:tcPr>
            <w:tcW w:w="9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769" w:rsidRDefault="00774769">
            <w:pPr>
              <w:spacing w:before="100" w:beforeAutospacing="1" w:after="120" w:line="276" w:lineRule="auto"/>
              <w:jc w:val="both"/>
              <w:rPr>
                <w:rStyle w:val="Forte"/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rte"/>
              </w:rPr>
              <w:lastRenderedPageBreak/>
              <w:t>Arts</w:t>
            </w:r>
            <w:proofErr w:type="spellEnd"/>
            <w:r>
              <w:rPr>
                <w:rStyle w:val="Forte"/>
              </w:rPr>
              <w:t>. 55 ao 59 – MJ, MF, CGU, Bacen, MP, MSP e MCTIC</w:t>
            </w:r>
          </w:p>
          <w:p w:rsidR="00774769" w:rsidRDefault="00774769">
            <w:pPr>
              <w:spacing w:before="100" w:beforeAutospacing="1" w:after="120" w:line="276" w:lineRule="auto"/>
              <w:ind w:left="114"/>
              <w:jc w:val="both"/>
              <w:rPr>
                <w:rStyle w:val="Forte"/>
              </w:rPr>
            </w:pPr>
            <w:r>
              <w:rPr>
                <w:rStyle w:val="Forte"/>
              </w:rPr>
              <w:t>Razão dos vetos</w:t>
            </w:r>
          </w:p>
          <w:p w:rsidR="00774769" w:rsidRDefault="00774769">
            <w:pPr>
              <w:spacing w:line="276" w:lineRule="auto"/>
              <w:ind w:firstLine="574"/>
            </w:pPr>
            <w:r>
              <w:t xml:space="preserve">  “Os dispositivos incorrem em inconstitucionalidade do processo legislativo, por afronta ao artigo </w:t>
            </w:r>
            <w:r>
              <w:rPr>
                <w:lang w:eastAsia="hi-IN"/>
              </w:rPr>
              <w:t xml:space="preserve">61, §1º, II, “e”, cumulado com o artigo 37, XIX da Constituição.” </w:t>
            </w:r>
          </w:p>
        </w:tc>
      </w:tr>
    </w:tbl>
    <w:p w:rsidR="00774769" w:rsidRDefault="00774769" w:rsidP="00774769"/>
    <w:p w:rsidR="003944E3" w:rsidRDefault="003944E3"/>
    <w:sectPr w:rsidR="00394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69"/>
    <w:rsid w:val="003944E3"/>
    <w:rsid w:val="00767754"/>
    <w:rsid w:val="007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D14B-60E5-4C3C-BA17-D514EA0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76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7476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7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Thatiana de Oliveira Souza Marcial</dc:creator>
  <cp:keywords/>
  <dc:description/>
  <cp:lastModifiedBy>Bruno Moura</cp:lastModifiedBy>
  <cp:revision>2</cp:revision>
  <dcterms:created xsi:type="dcterms:W3CDTF">2018-08-14T19:30:00Z</dcterms:created>
  <dcterms:modified xsi:type="dcterms:W3CDTF">2018-08-14T19:30:00Z</dcterms:modified>
</cp:coreProperties>
</file>