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376F" w14:textId="6F1A439C" w:rsidR="00C35E98" w:rsidRDefault="00C35E98" w:rsidP="00BE6E6D">
      <w:pPr>
        <w:spacing w:before="86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excelentíssimo Senhor Ministro Gilmar Mendes</w:t>
      </w:r>
    </w:p>
    <w:p w14:paraId="652B9EBC" w14:textId="77777777" w:rsidR="00C35E98" w:rsidRDefault="00C35E98" w:rsidP="00BE6E6D">
      <w:pPr>
        <w:spacing w:before="86"/>
        <w:rPr>
          <w:b/>
          <w:smallCaps/>
          <w:sz w:val="28"/>
          <w:szCs w:val="28"/>
        </w:rPr>
      </w:pPr>
    </w:p>
    <w:p w14:paraId="6D996521" w14:textId="7B6306FE" w:rsidR="00BE6E6D" w:rsidRPr="00BE6E6D" w:rsidRDefault="00BE6E6D" w:rsidP="00BE6E6D">
      <w:pPr>
        <w:spacing w:before="86"/>
        <w:rPr>
          <w:b/>
          <w:smallCaps/>
          <w:sz w:val="28"/>
          <w:szCs w:val="28"/>
        </w:rPr>
      </w:pPr>
      <w:r w:rsidRPr="00BE6E6D">
        <w:rPr>
          <w:b/>
          <w:smallCaps/>
          <w:sz w:val="28"/>
          <w:szCs w:val="28"/>
        </w:rPr>
        <w:t>EDCL no RE Nº 870.947/SE</w:t>
      </w:r>
    </w:p>
    <w:p w14:paraId="77367DCC" w14:textId="714FFE49" w:rsidR="00827A22" w:rsidRPr="00C76C37" w:rsidRDefault="00D443DE" w:rsidP="00BE6E6D">
      <w:pPr>
        <w:tabs>
          <w:tab w:val="left" w:pos="1418"/>
        </w:tabs>
        <w:spacing w:line="360" w:lineRule="auto"/>
        <w:ind w:right="17"/>
        <w:rPr>
          <w:bCs/>
          <w:smallCaps/>
          <w:sz w:val="28"/>
          <w:szCs w:val="28"/>
        </w:rPr>
      </w:pPr>
      <w:r w:rsidRPr="00C76C37">
        <w:rPr>
          <w:bCs/>
          <w:smallCaps/>
          <w:sz w:val="28"/>
          <w:szCs w:val="28"/>
        </w:rPr>
        <w:t>Requerente</w:t>
      </w:r>
      <w:r w:rsidR="00C76C37" w:rsidRPr="00C76C37">
        <w:rPr>
          <w:bCs/>
          <w:smallCaps/>
          <w:sz w:val="28"/>
          <w:szCs w:val="28"/>
        </w:rPr>
        <w:t>s</w:t>
      </w:r>
      <w:r w:rsidRPr="00C76C37">
        <w:rPr>
          <w:bCs/>
          <w:smallCaps/>
          <w:sz w:val="28"/>
          <w:szCs w:val="28"/>
        </w:rPr>
        <w:t>:</w:t>
      </w:r>
      <w:r w:rsidRPr="00C76C37">
        <w:rPr>
          <w:bCs/>
          <w:smallCaps/>
          <w:sz w:val="28"/>
          <w:szCs w:val="28"/>
        </w:rPr>
        <w:tab/>
      </w:r>
      <w:r w:rsidR="00BE6E6D">
        <w:rPr>
          <w:bCs/>
          <w:smallCaps/>
          <w:sz w:val="28"/>
          <w:szCs w:val="28"/>
        </w:rPr>
        <w:t>Instituto nacional do seguro Social</w:t>
      </w:r>
    </w:p>
    <w:p w14:paraId="0A8D3DFA" w14:textId="77777777" w:rsidR="00BE6E6D" w:rsidRDefault="00827A22" w:rsidP="00BA2B92">
      <w:pPr>
        <w:widowControl w:val="0"/>
        <w:tabs>
          <w:tab w:val="left" w:pos="1560"/>
          <w:tab w:val="left" w:pos="1701"/>
        </w:tabs>
        <w:snapToGrid w:val="0"/>
        <w:spacing w:line="360" w:lineRule="auto"/>
        <w:rPr>
          <w:bCs/>
          <w:smallCaps/>
          <w:sz w:val="28"/>
          <w:szCs w:val="28"/>
        </w:rPr>
      </w:pPr>
      <w:r w:rsidRPr="00C76C37">
        <w:rPr>
          <w:bCs/>
          <w:smallCaps/>
          <w:sz w:val="28"/>
          <w:szCs w:val="28"/>
        </w:rPr>
        <w:t xml:space="preserve">Relator: </w:t>
      </w:r>
      <w:r w:rsidRPr="00C76C37">
        <w:rPr>
          <w:bCs/>
          <w:smallCaps/>
          <w:sz w:val="28"/>
          <w:szCs w:val="28"/>
        </w:rPr>
        <w:tab/>
      </w:r>
      <w:r w:rsidR="00BE6E6D">
        <w:rPr>
          <w:bCs/>
          <w:smallCaps/>
          <w:sz w:val="28"/>
          <w:szCs w:val="28"/>
        </w:rPr>
        <w:t xml:space="preserve">Ministro Luiz </w:t>
      </w:r>
      <w:proofErr w:type="spellStart"/>
      <w:r w:rsidR="00BE6E6D">
        <w:rPr>
          <w:bCs/>
          <w:smallCaps/>
          <w:sz w:val="28"/>
          <w:szCs w:val="28"/>
        </w:rPr>
        <w:t>Fux</w:t>
      </w:r>
      <w:proofErr w:type="spellEnd"/>
    </w:p>
    <w:p w14:paraId="08A15E20" w14:textId="09D54D7D" w:rsidR="00827A22" w:rsidRPr="00C76C37" w:rsidRDefault="00BE6E6D" w:rsidP="00BA2B92">
      <w:pPr>
        <w:widowControl w:val="0"/>
        <w:tabs>
          <w:tab w:val="left" w:pos="1560"/>
          <w:tab w:val="left" w:pos="1701"/>
        </w:tabs>
        <w:snapToGrid w:val="0"/>
        <w:spacing w:line="360" w:lineRule="auto"/>
        <w:rPr>
          <w:bCs/>
          <w:smallCaps/>
          <w:sz w:val="28"/>
          <w:szCs w:val="28"/>
        </w:rPr>
      </w:pPr>
      <w:proofErr w:type="spellStart"/>
      <w:r w:rsidRPr="00BB6458">
        <w:rPr>
          <w:bCs/>
          <w:i/>
          <w:iCs/>
          <w:smallCaps/>
          <w:sz w:val="28"/>
          <w:szCs w:val="28"/>
        </w:rPr>
        <w:t>Amici</w:t>
      </w:r>
      <w:proofErr w:type="spellEnd"/>
      <w:r w:rsidRPr="00BB6458">
        <w:rPr>
          <w:bCs/>
          <w:i/>
          <w:iCs/>
          <w:smallCaps/>
          <w:sz w:val="28"/>
          <w:szCs w:val="28"/>
        </w:rPr>
        <w:t xml:space="preserve"> </w:t>
      </w:r>
      <w:proofErr w:type="spellStart"/>
      <w:r w:rsidRPr="00BB6458">
        <w:rPr>
          <w:bCs/>
          <w:i/>
          <w:iCs/>
          <w:smallCaps/>
          <w:sz w:val="28"/>
          <w:szCs w:val="28"/>
        </w:rPr>
        <w:t>Curiae</w:t>
      </w:r>
      <w:proofErr w:type="spellEnd"/>
      <w:r>
        <w:rPr>
          <w:bCs/>
          <w:smallCaps/>
          <w:sz w:val="28"/>
          <w:szCs w:val="28"/>
        </w:rPr>
        <w:t>: União, CNPGEDF e outros</w:t>
      </w:r>
      <w:r w:rsidR="00827A22" w:rsidRPr="00C76C37">
        <w:rPr>
          <w:bCs/>
          <w:smallCaps/>
          <w:sz w:val="28"/>
          <w:szCs w:val="28"/>
        </w:rPr>
        <w:tab/>
      </w:r>
    </w:p>
    <w:p w14:paraId="4DC0E86D" w14:textId="77777777" w:rsidR="00E40FCD" w:rsidRPr="006F5EB5" w:rsidRDefault="00E40FCD" w:rsidP="006F5EB5">
      <w:pPr>
        <w:pStyle w:val="PargrafodaLista"/>
        <w:pBdr>
          <w:top w:val="single" w:sz="4" w:space="1" w:color="auto"/>
        </w:pBdr>
        <w:tabs>
          <w:tab w:val="left" w:pos="17"/>
        </w:tabs>
        <w:spacing w:before="120" w:after="120" w:line="360" w:lineRule="auto"/>
        <w:ind w:left="142"/>
        <w:contextualSpacing w:val="0"/>
        <w:jc w:val="center"/>
        <w:rPr>
          <w:rFonts w:eastAsia="Arial Unicode MS" w:cs="Tahoma"/>
          <w:smallCaps/>
          <w:sz w:val="28"/>
          <w:szCs w:val="28"/>
          <w:u w:val="single"/>
        </w:rPr>
      </w:pPr>
    </w:p>
    <w:p w14:paraId="2352EA34" w14:textId="6F0C9A18" w:rsidR="00F7749A" w:rsidRPr="006F5EB5" w:rsidRDefault="000271B1" w:rsidP="006F5EB5">
      <w:pPr>
        <w:pStyle w:val="PargrafodaLista"/>
        <w:pBdr>
          <w:top w:val="single" w:sz="4" w:space="1" w:color="auto"/>
        </w:pBdr>
        <w:tabs>
          <w:tab w:val="left" w:pos="142"/>
        </w:tabs>
        <w:spacing w:before="120" w:after="120" w:line="360" w:lineRule="auto"/>
        <w:ind w:left="142"/>
        <w:contextualSpacing w:val="0"/>
        <w:jc w:val="center"/>
        <w:rPr>
          <w:rFonts w:eastAsia="Arial Unicode MS" w:cs="Tahoma"/>
          <w:smallCaps/>
          <w:sz w:val="28"/>
          <w:szCs w:val="28"/>
          <w:u w:val="single"/>
        </w:rPr>
      </w:pPr>
      <w:r w:rsidRPr="006F5EB5">
        <w:rPr>
          <w:rFonts w:eastAsia="Arial Unicode MS" w:cs="Tahoma"/>
          <w:smallCaps/>
          <w:sz w:val="28"/>
          <w:szCs w:val="28"/>
          <w:u w:val="single"/>
        </w:rPr>
        <w:t>Síntese do Memorial</w:t>
      </w:r>
      <w:r w:rsidR="00B94A54" w:rsidRPr="006F5EB5">
        <w:rPr>
          <w:rFonts w:eastAsia="Arial Unicode MS" w:cs="Tahoma"/>
          <w:smallCaps/>
          <w:sz w:val="28"/>
          <w:szCs w:val="28"/>
          <w:u w:val="single"/>
        </w:rPr>
        <w:t xml:space="preserve"> </w:t>
      </w:r>
    </w:p>
    <w:p w14:paraId="09615E39" w14:textId="3CB1A6F6" w:rsidR="00E723F3" w:rsidRPr="00766710" w:rsidRDefault="00440B48" w:rsidP="006F5EB5">
      <w:pPr>
        <w:pStyle w:val="Ementadememorial"/>
        <w:spacing w:before="120" w:after="120"/>
        <w:rPr>
          <w:sz w:val="28"/>
          <w:szCs w:val="28"/>
        </w:rPr>
      </w:pPr>
      <w:r w:rsidRPr="00766710">
        <w:rPr>
          <w:sz w:val="28"/>
          <w:szCs w:val="28"/>
        </w:rPr>
        <w:t xml:space="preserve">Memorial apresentado após pedido de vista do </w:t>
      </w:r>
      <w:r w:rsidRPr="001E498B">
        <w:rPr>
          <w:smallCaps/>
          <w:sz w:val="28"/>
          <w:szCs w:val="28"/>
        </w:rPr>
        <w:t>Ministro Gilmar Mendes</w:t>
      </w:r>
      <w:r w:rsidRPr="00766710">
        <w:rPr>
          <w:sz w:val="28"/>
          <w:szCs w:val="28"/>
        </w:rPr>
        <w:t xml:space="preserve"> na deliberação quanto à modulação dos efeitos da decisão tomada em sede de repercussão geral no RE nº 870.947</w:t>
      </w:r>
      <w:r w:rsidR="00E40FCD" w:rsidRPr="00766710">
        <w:rPr>
          <w:sz w:val="28"/>
          <w:szCs w:val="28"/>
        </w:rPr>
        <w:t>.</w:t>
      </w:r>
      <w:r w:rsidRPr="00766710">
        <w:rPr>
          <w:sz w:val="28"/>
          <w:szCs w:val="28"/>
        </w:rPr>
        <w:t xml:space="preserve"> Reafirmação das razões de segurança jurídica e resguardo ao interesse público, inclusive diante do grave impacto financeiro envolvido, pela modulação dos efeitos.</w:t>
      </w:r>
    </w:p>
    <w:p w14:paraId="0257E0DA" w14:textId="7BE76F2B" w:rsidR="00440B48" w:rsidRPr="00A627D1" w:rsidRDefault="00440B48" w:rsidP="001B78AA">
      <w:pPr>
        <w:pStyle w:val="Ementadememorial"/>
        <w:spacing w:before="120" w:after="120"/>
        <w:rPr>
          <w:sz w:val="28"/>
          <w:szCs w:val="28"/>
        </w:rPr>
      </w:pPr>
      <w:r w:rsidRPr="00A627D1">
        <w:rPr>
          <w:b/>
          <w:bCs/>
          <w:sz w:val="28"/>
          <w:szCs w:val="28"/>
        </w:rPr>
        <w:t>Clara alteração jurisprudencial</w:t>
      </w:r>
      <w:r w:rsidRPr="00A627D1">
        <w:rPr>
          <w:sz w:val="28"/>
          <w:szCs w:val="28"/>
        </w:rPr>
        <w:t xml:space="preserve">. A jurisprudência desse Supremo Tribunal </w:t>
      </w:r>
      <w:r w:rsidR="00C35E98" w:rsidRPr="00A627D1">
        <w:rPr>
          <w:sz w:val="28"/>
          <w:szCs w:val="28"/>
        </w:rPr>
        <w:t>Federal</w:t>
      </w:r>
      <w:r w:rsidRPr="00A627D1">
        <w:rPr>
          <w:sz w:val="28"/>
          <w:szCs w:val="28"/>
        </w:rPr>
        <w:t>, antes da prolação do acórdão embargado, era pacífica no sentido da plena aplicação, aos processos em curso, do índice de correção monetária estabelecido no artigo 1º-F da Lei 9.494/97, na redação conferida pela Lei 11.960/09, para as condenações impostas à Fazenda Pública. Precedentes.</w:t>
      </w:r>
    </w:p>
    <w:p w14:paraId="7E7A77A7" w14:textId="670CD646" w:rsidR="00440B48" w:rsidRPr="00766710" w:rsidRDefault="00440B48" w:rsidP="006F5EB5">
      <w:pPr>
        <w:pStyle w:val="Ementadememorial"/>
        <w:spacing w:before="120" w:after="120"/>
        <w:rPr>
          <w:sz w:val="28"/>
          <w:szCs w:val="28"/>
        </w:rPr>
      </w:pPr>
      <w:r w:rsidRPr="00766710">
        <w:rPr>
          <w:sz w:val="28"/>
          <w:szCs w:val="28"/>
        </w:rPr>
        <w:t>Os dois Tribunais Superiores que também enfrentam a matéria atinente à incidência do artigo 1º-F da Lei 9.494/97 na correção monetária das condenações da Fazenda Pública também já haviam consolidado suas jurisprudências no sentido da plena vigência e aplicabilidade desse dispositivo legal. No âmbito do e. Superior Tribunal de Justiça: RESP Repetitivo nº 1.205.946/SP (Tema 491). No Tribunal Superior do Trabalho: OJ nº</w:t>
      </w:r>
      <w:r w:rsidRPr="00766710">
        <w:rPr>
          <w:spacing w:val="-2"/>
          <w:sz w:val="28"/>
          <w:szCs w:val="28"/>
        </w:rPr>
        <w:t xml:space="preserve"> </w:t>
      </w:r>
      <w:r w:rsidRPr="00766710">
        <w:rPr>
          <w:sz w:val="28"/>
          <w:szCs w:val="28"/>
        </w:rPr>
        <w:t>7/TST-Pleno.</w:t>
      </w:r>
    </w:p>
    <w:p w14:paraId="6AA1A9E9" w14:textId="4DB815B5" w:rsidR="00440B48" w:rsidRPr="00A627D1" w:rsidRDefault="00440B48" w:rsidP="00B86083">
      <w:pPr>
        <w:pStyle w:val="Ementadememorial"/>
        <w:spacing w:before="120" w:after="120"/>
        <w:rPr>
          <w:sz w:val="28"/>
          <w:szCs w:val="28"/>
        </w:rPr>
      </w:pPr>
      <w:r w:rsidRPr="00A627D1">
        <w:rPr>
          <w:b/>
          <w:bCs/>
          <w:sz w:val="28"/>
          <w:szCs w:val="28"/>
        </w:rPr>
        <w:lastRenderedPageBreak/>
        <w:t>Razões de interesse público – grave impacto financeiro.</w:t>
      </w:r>
      <w:r w:rsidR="00A627D1" w:rsidRPr="00A627D1">
        <w:rPr>
          <w:b/>
          <w:bCs/>
          <w:sz w:val="28"/>
          <w:szCs w:val="28"/>
        </w:rPr>
        <w:t xml:space="preserve"> </w:t>
      </w:r>
      <w:r w:rsidRPr="00A627D1">
        <w:rPr>
          <w:bCs/>
          <w:sz w:val="28"/>
          <w:szCs w:val="28"/>
        </w:rPr>
        <w:t>No Parecer Técnico nº 2276-I/2018-DCP/PGU/AGU (em anexo), o Departamento de Cálculos e Perícias da Advocacia-Geral da União (DCP/AGU) elaborou novo cálculo que apresenta o impacto decorrente da declaração de inconstitucionalidade do art. 1º-F da Lei 9.494/97 sobre precatórios/</w:t>
      </w:r>
      <w:proofErr w:type="spellStart"/>
      <w:r w:rsidRPr="00A627D1">
        <w:rPr>
          <w:bCs/>
          <w:sz w:val="28"/>
          <w:szCs w:val="28"/>
        </w:rPr>
        <w:t>RPVs</w:t>
      </w:r>
      <w:proofErr w:type="spellEnd"/>
      <w:r w:rsidRPr="00A627D1">
        <w:rPr>
          <w:bCs/>
          <w:sz w:val="28"/>
          <w:szCs w:val="28"/>
        </w:rPr>
        <w:t xml:space="preserve"> da Fazenda Pública Federal </w:t>
      </w:r>
      <w:r w:rsidRPr="00A627D1">
        <w:rPr>
          <w:bCs/>
          <w:sz w:val="28"/>
          <w:szCs w:val="28"/>
          <w:u w:val="single"/>
        </w:rPr>
        <w:t xml:space="preserve">inscritos no orçamento entre 2011 e 2017. Chegou-se à quantia astronômica de </w:t>
      </w:r>
      <w:r w:rsidRPr="00A627D1">
        <w:rPr>
          <w:b/>
          <w:sz w:val="28"/>
          <w:szCs w:val="28"/>
          <w:u w:val="single"/>
        </w:rPr>
        <w:t>R$ 40.817.159.359,37</w:t>
      </w:r>
      <w:r w:rsidRPr="00A627D1">
        <w:rPr>
          <w:b/>
          <w:sz w:val="28"/>
          <w:szCs w:val="28"/>
        </w:rPr>
        <w:t xml:space="preserve"> </w:t>
      </w:r>
      <w:r w:rsidRPr="00A627D1">
        <w:rPr>
          <w:bCs/>
          <w:sz w:val="28"/>
          <w:szCs w:val="28"/>
        </w:rPr>
        <w:t>(quarenta bilhões, oitocentos e dezessete milhões, cento e cinquenta e nove mil, trezentos e cinquenta e nove reais e trinta e sete centavos), apenas no âmbito da Justiça Fe</w:t>
      </w:r>
      <w:r w:rsidRPr="00A627D1">
        <w:rPr>
          <w:b/>
          <w:sz w:val="28"/>
          <w:szCs w:val="28"/>
        </w:rPr>
        <w:t>deral.</w:t>
      </w:r>
    </w:p>
    <w:p w14:paraId="218AEC1D" w14:textId="5E08EC22" w:rsidR="00C35E98" w:rsidRPr="00766710" w:rsidRDefault="00C35E98" w:rsidP="00C35E98">
      <w:pPr>
        <w:pStyle w:val="Ementadememorial"/>
        <w:spacing w:before="120" w:after="120"/>
        <w:rPr>
          <w:b/>
          <w:sz w:val="28"/>
          <w:szCs w:val="28"/>
        </w:rPr>
      </w:pPr>
      <w:r w:rsidRPr="00766710">
        <w:rPr>
          <w:sz w:val="28"/>
          <w:szCs w:val="28"/>
        </w:rPr>
        <w:t xml:space="preserve">Além da controvérsia objeto do RE 870.947, com repercussão geral, </w:t>
      </w:r>
      <w:r w:rsidRPr="00766710">
        <w:rPr>
          <w:b/>
          <w:sz w:val="28"/>
          <w:szCs w:val="28"/>
        </w:rPr>
        <w:t>também tramitam, perante essa Suprema Corte, as Ações Diretas de Inconstitucionalidade nº 5.867 e 6.021</w:t>
      </w:r>
      <w:r w:rsidRPr="00766710">
        <w:rPr>
          <w:sz w:val="28"/>
          <w:szCs w:val="28"/>
        </w:rPr>
        <w:t>, que</w:t>
      </w:r>
      <w:r w:rsidRPr="00766710">
        <w:rPr>
          <w:b/>
          <w:sz w:val="28"/>
          <w:szCs w:val="28"/>
        </w:rPr>
        <w:t xml:space="preserve"> </w:t>
      </w:r>
      <w:r w:rsidRPr="00766710">
        <w:rPr>
          <w:bCs/>
          <w:sz w:val="28"/>
          <w:szCs w:val="28"/>
        </w:rPr>
        <w:t>têm por objeto as expressões "</w:t>
      </w:r>
      <w:r w:rsidRPr="00766710">
        <w:rPr>
          <w:bCs/>
          <w:i/>
          <w:sz w:val="28"/>
          <w:szCs w:val="28"/>
        </w:rPr>
        <w:t>com os mesmos índices de poupança</w:t>
      </w:r>
      <w:r w:rsidRPr="00766710">
        <w:rPr>
          <w:bCs/>
          <w:sz w:val="28"/>
          <w:szCs w:val="28"/>
        </w:rPr>
        <w:t>", contida no artigo 899, § 4°, da Consolidação das Leis do Trabalho – CLT (ADI 5867) e “</w:t>
      </w:r>
      <w:r w:rsidRPr="00766710">
        <w:rPr>
          <w:bCs/>
          <w:i/>
          <w:sz w:val="28"/>
          <w:szCs w:val="28"/>
        </w:rPr>
        <w:t>pela Taxa Referencial (TR) divulgada pelo Banco Central do Brasil</w:t>
      </w:r>
      <w:r w:rsidRPr="00766710">
        <w:rPr>
          <w:bCs/>
          <w:sz w:val="28"/>
          <w:szCs w:val="28"/>
        </w:rPr>
        <w:t>”, contida no artigo 879, § 7º, também da CLT (ADI 6021), ambas incluídas pela Lei 13.467/17 (Reforma Trabalhista),</w:t>
      </w:r>
      <w:r w:rsidRPr="00766710">
        <w:rPr>
          <w:sz w:val="28"/>
          <w:szCs w:val="28"/>
        </w:rPr>
        <w:t xml:space="preserve"> bem como, por arrastamento, o artigo 39, </w:t>
      </w:r>
      <w:r w:rsidRPr="00766710">
        <w:rPr>
          <w:i/>
          <w:sz w:val="28"/>
          <w:szCs w:val="28"/>
        </w:rPr>
        <w:t>caput</w:t>
      </w:r>
      <w:r w:rsidRPr="00766710">
        <w:rPr>
          <w:sz w:val="28"/>
          <w:szCs w:val="28"/>
        </w:rPr>
        <w:t xml:space="preserve">, da Lei 8.177/91. Em face dos mesmos dispositivos, incluindo, ainda, o § 1º do art. 39 da Lei 8.177/91, foram propostas as Ações Declaratórias de Constitucionalidade nº 58 e 59, com pedido de medida cautelar. Todas sob a relatoria do </w:t>
      </w:r>
      <w:r w:rsidRPr="001E498B">
        <w:rPr>
          <w:smallCaps/>
          <w:sz w:val="28"/>
          <w:szCs w:val="28"/>
        </w:rPr>
        <w:t>Ministro Gilmar</w:t>
      </w:r>
      <w:r w:rsidR="00766710" w:rsidRPr="001E498B">
        <w:rPr>
          <w:smallCaps/>
          <w:sz w:val="28"/>
          <w:szCs w:val="28"/>
        </w:rPr>
        <w:t xml:space="preserve"> M</w:t>
      </w:r>
      <w:r w:rsidRPr="001E498B">
        <w:rPr>
          <w:smallCaps/>
          <w:sz w:val="28"/>
          <w:szCs w:val="28"/>
        </w:rPr>
        <w:t>endes</w:t>
      </w:r>
      <w:r w:rsidRPr="00766710">
        <w:rPr>
          <w:sz w:val="28"/>
          <w:szCs w:val="28"/>
        </w:rPr>
        <w:t xml:space="preserve">. Sustenta-se, nas </w:t>
      </w:r>
      <w:proofErr w:type="spellStart"/>
      <w:r w:rsidRPr="00766710">
        <w:rPr>
          <w:sz w:val="28"/>
          <w:szCs w:val="28"/>
        </w:rPr>
        <w:t>ADI’s</w:t>
      </w:r>
      <w:proofErr w:type="spellEnd"/>
      <w:r w:rsidRPr="00766710">
        <w:rPr>
          <w:sz w:val="28"/>
          <w:szCs w:val="28"/>
        </w:rPr>
        <w:t xml:space="preserve">, que a Taxa Referencial, índice adotado pelas normas impugnadas para atualização de depósitos recursais e de créditos trabalhistas reconhecidos em decisão judicial proferida no âmbito da Justiça do Trabalho, não seria capaz de assegurar a manutenção do poder aquisitivo da moeda e de remunerar adequadamente os respectivos montantes, o que implicaria violação ao direito de propriedade das partes. Trata-se, portanto, da mesma premissa argumentativa que levou à declaração de inconstitucionalidade no RE 870.947 e nas </w:t>
      </w:r>
      <w:proofErr w:type="spellStart"/>
      <w:r w:rsidRPr="00766710">
        <w:rPr>
          <w:sz w:val="28"/>
          <w:szCs w:val="28"/>
        </w:rPr>
        <w:t>ADIs</w:t>
      </w:r>
      <w:proofErr w:type="spellEnd"/>
      <w:r w:rsidRPr="00766710">
        <w:rPr>
          <w:sz w:val="28"/>
          <w:szCs w:val="28"/>
        </w:rPr>
        <w:t xml:space="preserve"> 4357 e 4425.</w:t>
      </w:r>
    </w:p>
    <w:p w14:paraId="42344136" w14:textId="0A5958BD" w:rsidR="00C35E98" w:rsidRPr="00766710" w:rsidRDefault="00C35E98" w:rsidP="00C35E98">
      <w:pPr>
        <w:pStyle w:val="Ementadememorial"/>
        <w:spacing w:before="120" w:after="120"/>
        <w:rPr>
          <w:bCs/>
          <w:sz w:val="28"/>
          <w:szCs w:val="28"/>
        </w:rPr>
      </w:pPr>
      <w:r w:rsidRPr="00766710">
        <w:rPr>
          <w:bCs/>
          <w:sz w:val="28"/>
          <w:szCs w:val="28"/>
        </w:rPr>
        <w:lastRenderedPageBreak/>
        <w:t xml:space="preserve">Somente para os </w:t>
      </w:r>
      <w:r w:rsidRPr="00766710">
        <w:rPr>
          <w:b/>
          <w:sz w:val="28"/>
          <w:szCs w:val="28"/>
          <w:u w:val="single"/>
        </w:rPr>
        <w:t>precatórios trabalhistas incluídos na</w:t>
      </w:r>
      <w:r w:rsidRPr="00766710">
        <w:rPr>
          <w:bCs/>
          <w:sz w:val="28"/>
          <w:szCs w:val="28"/>
          <w:u w:val="single"/>
        </w:rPr>
        <w:t xml:space="preserve"> </w:t>
      </w:r>
      <w:r w:rsidRPr="00766710">
        <w:rPr>
          <w:b/>
          <w:sz w:val="28"/>
          <w:szCs w:val="28"/>
          <w:u w:val="single"/>
        </w:rPr>
        <w:t>proposta orçamentária de 2019</w:t>
      </w:r>
      <w:r w:rsidRPr="00766710">
        <w:rPr>
          <w:bCs/>
          <w:sz w:val="28"/>
          <w:szCs w:val="28"/>
        </w:rPr>
        <w:t xml:space="preserve">, conforme estimativa do Departamento de Cálculos desta AGU no Parecer Técnico nº 1465-I/2019-DCP/PGU/AG (em anexo), a diferença decorrente da aplicação da variação do IPCA-e em relação à TR chega à quantia de </w:t>
      </w:r>
      <w:r w:rsidRPr="00766710">
        <w:rPr>
          <w:b/>
          <w:sz w:val="28"/>
          <w:szCs w:val="28"/>
        </w:rPr>
        <w:t>R$ 10.512.201,03</w:t>
      </w:r>
      <w:r w:rsidR="00004A72" w:rsidRPr="00766710">
        <w:rPr>
          <w:b/>
          <w:sz w:val="28"/>
          <w:szCs w:val="28"/>
        </w:rPr>
        <w:t>.</w:t>
      </w:r>
    </w:p>
    <w:p w14:paraId="20AE1404" w14:textId="07A374B9" w:rsidR="000B4889" w:rsidRPr="00766710" w:rsidRDefault="000B4889" w:rsidP="00C35E98">
      <w:pPr>
        <w:pStyle w:val="Ementadememorial"/>
        <w:spacing w:before="120" w:after="120"/>
        <w:rPr>
          <w:bCs/>
          <w:sz w:val="28"/>
          <w:szCs w:val="28"/>
        </w:rPr>
      </w:pPr>
      <w:r w:rsidRPr="00766710">
        <w:rPr>
          <w:b/>
          <w:sz w:val="28"/>
          <w:szCs w:val="28"/>
        </w:rPr>
        <w:t xml:space="preserve">A necessidade de prestígio à </w:t>
      </w:r>
      <w:r w:rsidRPr="00A627D1">
        <w:rPr>
          <w:b/>
          <w:sz w:val="28"/>
          <w:szCs w:val="28"/>
          <w:u w:val="single"/>
        </w:rPr>
        <w:t>segurança jurídica</w:t>
      </w:r>
      <w:r w:rsidRPr="00766710">
        <w:rPr>
          <w:b/>
          <w:sz w:val="28"/>
          <w:szCs w:val="28"/>
        </w:rPr>
        <w:t xml:space="preserve">, à </w:t>
      </w:r>
      <w:r w:rsidRPr="00A627D1">
        <w:rPr>
          <w:b/>
          <w:sz w:val="28"/>
          <w:szCs w:val="28"/>
          <w:u w:val="single"/>
        </w:rPr>
        <w:t>proteção da confiança</w:t>
      </w:r>
      <w:r w:rsidRPr="00766710">
        <w:rPr>
          <w:b/>
          <w:sz w:val="28"/>
          <w:szCs w:val="28"/>
        </w:rPr>
        <w:t xml:space="preserve"> e à </w:t>
      </w:r>
      <w:r w:rsidRPr="00A627D1">
        <w:rPr>
          <w:b/>
          <w:sz w:val="28"/>
          <w:szCs w:val="28"/>
          <w:u w:val="single"/>
        </w:rPr>
        <w:t>coerência do sistema jurídico</w:t>
      </w:r>
      <w:r w:rsidRPr="00766710">
        <w:rPr>
          <w:b/>
          <w:sz w:val="28"/>
          <w:szCs w:val="28"/>
        </w:rPr>
        <w:t xml:space="preserve"> fica reforçada diante do fato de que, ao julgar questão de ordem nas </w:t>
      </w:r>
      <w:proofErr w:type="spellStart"/>
      <w:r w:rsidRPr="00766710">
        <w:rPr>
          <w:b/>
          <w:sz w:val="28"/>
          <w:szCs w:val="28"/>
        </w:rPr>
        <w:t>ADIs</w:t>
      </w:r>
      <w:proofErr w:type="spellEnd"/>
      <w:r w:rsidRPr="00766710">
        <w:rPr>
          <w:b/>
          <w:sz w:val="28"/>
          <w:szCs w:val="28"/>
        </w:rPr>
        <w:t xml:space="preserve"> 4.425 e 4.357, procedeu-se à modulação dos efeitos da declaração de inconstitucionalidade do mesmo dispositivo legal referente à correção monetária na sistemática dos</w:t>
      </w:r>
      <w:r w:rsidRPr="00766710">
        <w:rPr>
          <w:b/>
          <w:spacing w:val="-1"/>
          <w:sz w:val="28"/>
          <w:szCs w:val="28"/>
        </w:rPr>
        <w:t xml:space="preserve"> </w:t>
      </w:r>
      <w:r w:rsidRPr="00766710">
        <w:rPr>
          <w:b/>
          <w:sz w:val="28"/>
          <w:szCs w:val="28"/>
        </w:rPr>
        <w:t>precatórios.</w:t>
      </w:r>
    </w:p>
    <w:p w14:paraId="24C19315" w14:textId="38FE6C06" w:rsidR="000B4889" w:rsidRPr="001E498B" w:rsidRDefault="000B4889" w:rsidP="00C35E98">
      <w:pPr>
        <w:pStyle w:val="Ementadememorial"/>
        <w:spacing w:before="120" w:after="120"/>
        <w:rPr>
          <w:bCs/>
          <w:sz w:val="28"/>
          <w:szCs w:val="28"/>
        </w:rPr>
      </w:pPr>
      <w:r w:rsidRPr="00766710">
        <w:rPr>
          <w:sz w:val="28"/>
          <w:szCs w:val="28"/>
        </w:rPr>
        <w:t>A dimensão do que se está a discutir não é apenas financeira. Ela guarda impactos que vulneram a própria segurança jurídica. A ausência da modulação ocasionará a necessidade de revisão de milhões de cálculos elaborados em processos em curso e em execuções/cumprimento de títulos executivos judiciais proferidos em desfavor da Fazenda Pública, inclusive possíveis processos com RPV/precatórios já expedidos e ainda não</w:t>
      </w:r>
      <w:r w:rsidRPr="00766710">
        <w:rPr>
          <w:spacing w:val="-13"/>
          <w:sz w:val="28"/>
          <w:szCs w:val="28"/>
        </w:rPr>
        <w:t xml:space="preserve"> </w:t>
      </w:r>
      <w:r w:rsidRPr="00766710">
        <w:rPr>
          <w:sz w:val="28"/>
          <w:szCs w:val="28"/>
        </w:rPr>
        <w:t>pagos.</w:t>
      </w:r>
    </w:p>
    <w:p w14:paraId="1382E265" w14:textId="6C49F697" w:rsidR="001E498B" w:rsidRPr="00766710" w:rsidRDefault="001E498B" w:rsidP="00C35E98">
      <w:pPr>
        <w:pStyle w:val="Ementadememorial"/>
        <w:spacing w:before="120" w:after="120"/>
        <w:rPr>
          <w:bCs/>
          <w:sz w:val="28"/>
          <w:szCs w:val="28"/>
        </w:rPr>
      </w:pPr>
      <w:r>
        <w:rPr>
          <w:sz w:val="28"/>
          <w:szCs w:val="28"/>
        </w:rPr>
        <w:t>A</w:t>
      </w:r>
      <w:r w:rsidRPr="00440B48">
        <w:rPr>
          <w:sz w:val="28"/>
          <w:szCs w:val="28"/>
        </w:rPr>
        <w:t xml:space="preserve"> Advocacia-Geral da União manifesta-se pela </w:t>
      </w:r>
      <w:r w:rsidRPr="00A627D1">
        <w:rPr>
          <w:b/>
          <w:bCs/>
          <w:sz w:val="28"/>
          <w:szCs w:val="28"/>
        </w:rPr>
        <w:t xml:space="preserve">modulação dos efeitos da declaração de inconstitucionalidade do artigo 1º-F da Lei 9.494/97 no que tange ao índice de correção monetária aplicável nas condenações impostas à Fazenda Pública, fixando-se com termo inicial para eficácia da referida decisão a data do julgamento da modulação realizada nas </w:t>
      </w:r>
      <w:proofErr w:type="spellStart"/>
      <w:r w:rsidRPr="00A627D1">
        <w:rPr>
          <w:b/>
          <w:bCs/>
          <w:sz w:val="28"/>
          <w:szCs w:val="28"/>
        </w:rPr>
        <w:t>ADIs</w:t>
      </w:r>
      <w:proofErr w:type="spellEnd"/>
      <w:r w:rsidRPr="00A627D1">
        <w:rPr>
          <w:b/>
          <w:bCs/>
          <w:sz w:val="28"/>
          <w:szCs w:val="28"/>
        </w:rPr>
        <w:t xml:space="preserve"> 4425 e 4357 (25.03.2015)</w:t>
      </w:r>
      <w:r w:rsidRPr="00440B48">
        <w:rPr>
          <w:sz w:val="28"/>
          <w:szCs w:val="28"/>
        </w:rPr>
        <w:t xml:space="preserve">, em contraposição à data que seria fixada em caso de efeitos </w:t>
      </w:r>
      <w:proofErr w:type="spellStart"/>
      <w:r w:rsidRPr="00440B48">
        <w:rPr>
          <w:i/>
          <w:sz w:val="28"/>
          <w:szCs w:val="28"/>
        </w:rPr>
        <w:t>ex</w:t>
      </w:r>
      <w:proofErr w:type="spellEnd"/>
      <w:r w:rsidRPr="00440B48">
        <w:rPr>
          <w:i/>
          <w:sz w:val="28"/>
          <w:szCs w:val="28"/>
        </w:rPr>
        <w:t xml:space="preserve"> </w:t>
      </w:r>
      <w:proofErr w:type="spellStart"/>
      <w:r w:rsidRPr="00440B48">
        <w:rPr>
          <w:i/>
          <w:sz w:val="28"/>
          <w:szCs w:val="28"/>
        </w:rPr>
        <w:t>tunc</w:t>
      </w:r>
      <w:proofErr w:type="spellEnd"/>
      <w:r w:rsidRPr="00440B48">
        <w:rPr>
          <w:i/>
          <w:sz w:val="28"/>
          <w:szCs w:val="28"/>
        </w:rPr>
        <w:t xml:space="preserve">, </w:t>
      </w:r>
      <w:r w:rsidRPr="00440B48">
        <w:rPr>
          <w:sz w:val="28"/>
          <w:szCs w:val="28"/>
        </w:rPr>
        <w:t>qual seja, 30.06.2009, início da vigência do dispositivo</w:t>
      </w:r>
      <w:r w:rsidRPr="00440B48">
        <w:rPr>
          <w:spacing w:val="-3"/>
          <w:sz w:val="28"/>
          <w:szCs w:val="28"/>
        </w:rPr>
        <w:t xml:space="preserve"> </w:t>
      </w:r>
      <w:r w:rsidRPr="00440B48">
        <w:rPr>
          <w:sz w:val="28"/>
          <w:szCs w:val="28"/>
        </w:rPr>
        <w:t>legal</w:t>
      </w:r>
      <w:r>
        <w:rPr>
          <w:sz w:val="28"/>
          <w:szCs w:val="28"/>
        </w:rPr>
        <w:t>.</w:t>
      </w:r>
    </w:p>
    <w:p w14:paraId="4B2EE8D6" w14:textId="52570A71" w:rsidR="001E498B" w:rsidRDefault="001E498B" w:rsidP="006C5654">
      <w:pPr>
        <w:pStyle w:val="Ttuloemmemorial"/>
        <w:spacing w:before="360" w:beforeAutospacing="0" w:after="360" w:afterAutospacing="0"/>
      </w:pPr>
    </w:p>
    <w:p w14:paraId="70386604" w14:textId="678D9F61" w:rsidR="00A627D1" w:rsidRDefault="00A627D1" w:rsidP="006C5654">
      <w:pPr>
        <w:pStyle w:val="Ttuloemmemorial"/>
        <w:spacing w:before="360" w:beforeAutospacing="0" w:after="360" w:afterAutospacing="0"/>
      </w:pPr>
    </w:p>
    <w:p w14:paraId="3F2827A7" w14:textId="77777777" w:rsidR="00A627D1" w:rsidRDefault="00A627D1" w:rsidP="006C5654">
      <w:pPr>
        <w:pStyle w:val="Ttuloemmemorial"/>
        <w:spacing w:before="360" w:beforeAutospacing="0" w:after="360" w:afterAutospacing="0"/>
      </w:pPr>
    </w:p>
    <w:p w14:paraId="77686CCC" w14:textId="14A64EEF" w:rsidR="000271B1" w:rsidRPr="00584314" w:rsidRDefault="000271B1" w:rsidP="006C5654">
      <w:pPr>
        <w:pStyle w:val="Ttuloemmemorial"/>
        <w:spacing w:before="360" w:beforeAutospacing="0" w:after="360" w:afterAutospacing="0"/>
      </w:pPr>
      <w:r w:rsidRPr="00584314">
        <w:lastRenderedPageBreak/>
        <w:t xml:space="preserve">I. </w:t>
      </w:r>
      <w:r w:rsidR="00B81A94" w:rsidRPr="00584314">
        <w:t>SÍNTESE DA DEMANDA</w:t>
      </w:r>
    </w:p>
    <w:p w14:paraId="28FC91C0" w14:textId="11A6E2C4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7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Em sessão realizada no dia 20.09.2017, o Plenário desse </w:t>
      </w:r>
      <w:proofErr w:type="gramStart"/>
      <w:r w:rsidR="00766710">
        <w:rPr>
          <w:sz w:val="28"/>
          <w:szCs w:val="28"/>
        </w:rPr>
        <w:t xml:space="preserve">Supremo </w:t>
      </w:r>
      <w:r w:rsidRPr="00BE6E6D">
        <w:rPr>
          <w:sz w:val="28"/>
          <w:szCs w:val="28"/>
        </w:rPr>
        <w:t xml:space="preserve"> Tribunal</w:t>
      </w:r>
      <w:proofErr w:type="gramEnd"/>
      <w:r w:rsidR="00766710">
        <w:rPr>
          <w:sz w:val="28"/>
          <w:szCs w:val="28"/>
        </w:rPr>
        <w:t xml:space="preserve"> Federal</w:t>
      </w:r>
      <w:r w:rsidRPr="00BE6E6D">
        <w:rPr>
          <w:sz w:val="28"/>
          <w:szCs w:val="28"/>
        </w:rPr>
        <w:t xml:space="preserve"> julgou inconstitucional o artigo 1º-F da Lei 9.494/97, na redação conferida pela Lei 11.960/09, naquilo em que se refere ao índice de correção monetária a ser aplicado nas condenações impostas à Fazenda</w:t>
      </w:r>
      <w:r w:rsidRPr="00BE6E6D">
        <w:rPr>
          <w:spacing w:val="-12"/>
          <w:sz w:val="28"/>
          <w:szCs w:val="28"/>
        </w:rPr>
        <w:t xml:space="preserve"> </w:t>
      </w:r>
      <w:r w:rsidRPr="00BE6E6D">
        <w:rPr>
          <w:sz w:val="28"/>
          <w:szCs w:val="28"/>
        </w:rPr>
        <w:t>Pública.</w:t>
      </w:r>
    </w:p>
    <w:p w14:paraId="7C702BC4" w14:textId="5D43B4A2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6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O INSS, que figura como recorrente no feito, e diversos entes federativos que nele ingressaram como </w:t>
      </w:r>
      <w:proofErr w:type="spellStart"/>
      <w:r w:rsidRPr="00BE6E6D">
        <w:rPr>
          <w:i/>
          <w:sz w:val="28"/>
          <w:szCs w:val="28"/>
        </w:rPr>
        <w:t>amic</w:t>
      </w:r>
      <w:r w:rsidR="001E53C4">
        <w:rPr>
          <w:i/>
          <w:sz w:val="28"/>
          <w:szCs w:val="28"/>
        </w:rPr>
        <w:t>i</w:t>
      </w:r>
      <w:proofErr w:type="spellEnd"/>
      <w:r w:rsidRPr="00BE6E6D">
        <w:rPr>
          <w:i/>
          <w:sz w:val="28"/>
          <w:szCs w:val="28"/>
        </w:rPr>
        <w:t xml:space="preserve"> </w:t>
      </w:r>
      <w:proofErr w:type="spellStart"/>
      <w:r w:rsidRPr="00BE6E6D">
        <w:rPr>
          <w:i/>
          <w:sz w:val="28"/>
          <w:szCs w:val="28"/>
        </w:rPr>
        <w:t>curiae</w:t>
      </w:r>
      <w:proofErr w:type="spellEnd"/>
      <w:r w:rsidRPr="00BE6E6D">
        <w:rPr>
          <w:i/>
          <w:sz w:val="28"/>
          <w:szCs w:val="28"/>
        </w:rPr>
        <w:t xml:space="preserve"> </w:t>
      </w:r>
      <w:r w:rsidRPr="00BE6E6D">
        <w:rPr>
          <w:sz w:val="28"/>
          <w:szCs w:val="28"/>
        </w:rPr>
        <w:t>opuseram embargos de declaração, apontando omissão no acórdão no que tange à necessidade de modulação dos efeitos da declaração de</w:t>
      </w:r>
      <w:r w:rsidRPr="00BE6E6D">
        <w:rPr>
          <w:spacing w:val="-3"/>
          <w:sz w:val="28"/>
          <w:szCs w:val="28"/>
        </w:rPr>
        <w:t xml:space="preserve"> </w:t>
      </w:r>
      <w:r w:rsidRPr="00BE6E6D">
        <w:rPr>
          <w:sz w:val="28"/>
          <w:szCs w:val="28"/>
        </w:rPr>
        <w:t>inconstitucionalidade do dispositivo legal.</w:t>
      </w:r>
    </w:p>
    <w:p w14:paraId="764C072B" w14:textId="77777777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0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Tendo em vista a relevância da fundamentação expendida nos recursos, calcada no respeito à segurança jurídica e na proteção da confiança legítima, foram deferidos os pedidos de atribuição de efeito suspensivo aos </w:t>
      </w:r>
      <w:proofErr w:type="spellStart"/>
      <w:r w:rsidRPr="00BE6E6D">
        <w:rPr>
          <w:sz w:val="28"/>
          <w:szCs w:val="28"/>
        </w:rPr>
        <w:t>aclaratórios</w:t>
      </w:r>
      <w:proofErr w:type="spellEnd"/>
      <w:r w:rsidRPr="00BE6E6D">
        <w:rPr>
          <w:sz w:val="28"/>
          <w:szCs w:val="28"/>
        </w:rPr>
        <w:t>.</w:t>
      </w:r>
    </w:p>
    <w:p w14:paraId="5DBBFE52" w14:textId="776457C1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0" w:firstLine="1418"/>
        <w:rPr>
          <w:sz w:val="28"/>
          <w:szCs w:val="28"/>
        </w:rPr>
      </w:pPr>
      <w:r w:rsidRPr="00BE6E6D">
        <w:rPr>
          <w:sz w:val="28"/>
          <w:szCs w:val="28"/>
        </w:rPr>
        <w:t>Interessante ressaltar que</w:t>
      </w:r>
      <w:r>
        <w:rPr>
          <w:sz w:val="28"/>
          <w:szCs w:val="28"/>
        </w:rPr>
        <w:t>,</w:t>
      </w:r>
      <w:r w:rsidRPr="00BE6E6D">
        <w:rPr>
          <w:sz w:val="28"/>
          <w:szCs w:val="28"/>
        </w:rPr>
        <w:t xml:space="preserve"> na decisão de atribuição de efeito suspensivo, o grave impacto ao erário, com possibilidade de pagamento de valores a maior pela Fazenda Pública, foi considerado como relevante pelo relator do presente feito, tendo consubstanciado a plausibilidade jurídica do pedido de modulação temporal, razão pela qual, em atenção à excepcionalidade do caso, foi concedido o sobredito efeito aos embargos</w:t>
      </w:r>
      <w:r w:rsidRPr="00BE6E6D">
        <w:rPr>
          <w:spacing w:val="-22"/>
          <w:sz w:val="28"/>
          <w:szCs w:val="28"/>
        </w:rPr>
        <w:t xml:space="preserve"> </w:t>
      </w:r>
      <w:r w:rsidRPr="00BE6E6D">
        <w:rPr>
          <w:sz w:val="28"/>
          <w:szCs w:val="28"/>
        </w:rPr>
        <w:t>declaratórios:</w:t>
      </w:r>
    </w:p>
    <w:p w14:paraId="101879D1" w14:textId="77777777" w:rsidR="00BE6E6D" w:rsidRPr="00766710" w:rsidRDefault="00BE6E6D" w:rsidP="00BE6E6D">
      <w:pPr>
        <w:spacing w:before="1"/>
        <w:ind w:left="2268" w:right="103" w:firstLine="284"/>
        <w:rPr>
          <w:iCs/>
        </w:rPr>
      </w:pPr>
      <w:r w:rsidRPr="00766710">
        <w:rPr>
          <w:iCs/>
        </w:rPr>
        <w:t>Desse modo, a imediata aplicação do decisum embargado pelas instâncias a quo, antes da apreciação por esta Suprema Corte do pleito de modulação dos efeitos da orientação estabelecida, pode realmente dar ensejo à realização de pagamento de consideráveis valores, em tese, a maior pela Fazenda Pública, ocasionando grave prejuízo às já combalidas finanças</w:t>
      </w:r>
      <w:r w:rsidRPr="00766710">
        <w:rPr>
          <w:iCs/>
          <w:spacing w:val="-2"/>
        </w:rPr>
        <w:t xml:space="preserve"> </w:t>
      </w:r>
      <w:r w:rsidRPr="00766710">
        <w:rPr>
          <w:iCs/>
        </w:rPr>
        <w:t>públicas.</w:t>
      </w:r>
    </w:p>
    <w:p w14:paraId="1605FB3B" w14:textId="77777777" w:rsidR="00BE6E6D" w:rsidRPr="00766710" w:rsidRDefault="00BE6E6D" w:rsidP="00BE6E6D">
      <w:pPr>
        <w:spacing w:before="91"/>
        <w:ind w:left="2268" w:right="108" w:firstLine="284"/>
        <w:rPr>
          <w:iCs/>
        </w:rPr>
      </w:pPr>
      <w:proofErr w:type="spellStart"/>
      <w:r w:rsidRPr="00766710">
        <w:rPr>
          <w:iCs/>
        </w:rPr>
        <w:t>Ex</w:t>
      </w:r>
      <w:proofErr w:type="spellEnd"/>
      <w:r w:rsidRPr="00766710">
        <w:rPr>
          <w:iCs/>
        </w:rPr>
        <w:t xml:space="preserve"> positis, DEFIRO excepcionalmente efeito suspensivo aos embargos de declaração opostos pelos entes federativos estaduais, com fundamento no artigo 1026, §1º, do CPC/2015 c/</w:t>
      </w:r>
      <w:proofErr w:type="gramStart"/>
      <w:r w:rsidRPr="00766710">
        <w:rPr>
          <w:iCs/>
        </w:rPr>
        <w:t>c</w:t>
      </w:r>
      <w:proofErr w:type="gramEnd"/>
      <w:r w:rsidRPr="00766710">
        <w:rPr>
          <w:iCs/>
        </w:rPr>
        <w:t xml:space="preserve"> o artigo 21, V, do RISTF.</w:t>
      </w:r>
    </w:p>
    <w:p w14:paraId="7E83B1AA" w14:textId="77777777" w:rsidR="00BE6E6D" w:rsidRPr="00BE6E6D" w:rsidRDefault="00BE6E6D" w:rsidP="00BE6E6D">
      <w:pPr>
        <w:spacing w:before="91" w:line="360" w:lineRule="auto"/>
        <w:ind w:right="108" w:firstLine="1418"/>
        <w:rPr>
          <w:i/>
          <w:sz w:val="28"/>
          <w:szCs w:val="28"/>
        </w:rPr>
      </w:pPr>
    </w:p>
    <w:p w14:paraId="1D43BF8B" w14:textId="5086FCAE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0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Iniciado o julgamento em 06/12/2018, o Ministro Relator proferiu voto acolhendo parcialmente os embargos de declaração do INSS e dos diversos </w:t>
      </w:r>
      <w:proofErr w:type="spellStart"/>
      <w:r w:rsidRPr="00BE6E6D">
        <w:rPr>
          <w:i/>
          <w:sz w:val="28"/>
          <w:szCs w:val="28"/>
        </w:rPr>
        <w:t>amic</w:t>
      </w:r>
      <w:r w:rsidR="00766710">
        <w:rPr>
          <w:i/>
          <w:sz w:val="28"/>
          <w:szCs w:val="28"/>
        </w:rPr>
        <w:t>i</w:t>
      </w:r>
      <w:proofErr w:type="spellEnd"/>
      <w:r w:rsidRPr="00BE6E6D">
        <w:rPr>
          <w:i/>
          <w:sz w:val="28"/>
          <w:szCs w:val="28"/>
        </w:rPr>
        <w:t xml:space="preserve"> </w:t>
      </w:r>
      <w:proofErr w:type="spellStart"/>
      <w:r w:rsidRPr="00BE6E6D">
        <w:rPr>
          <w:i/>
          <w:sz w:val="28"/>
          <w:szCs w:val="28"/>
        </w:rPr>
        <w:t>curiae</w:t>
      </w:r>
      <w:proofErr w:type="spellEnd"/>
      <w:r w:rsidRPr="00BE6E6D">
        <w:rPr>
          <w:sz w:val="28"/>
          <w:szCs w:val="28"/>
        </w:rPr>
        <w:t xml:space="preserve"> para conferir eficácia prospectiva à declaração de inconstitucionalidade do índice de correção monetária estabelecido no artigo 1º-F da Lei 9.494/1997, </w:t>
      </w:r>
      <w:r w:rsidRPr="00766710">
        <w:rPr>
          <w:b/>
          <w:bCs/>
          <w:sz w:val="28"/>
          <w:szCs w:val="28"/>
        </w:rPr>
        <w:t xml:space="preserve">estabelecendo 25/03/2015 – data do julgamento da modulação realizada nas </w:t>
      </w:r>
      <w:proofErr w:type="spellStart"/>
      <w:r w:rsidRPr="00766710">
        <w:rPr>
          <w:b/>
          <w:bCs/>
          <w:sz w:val="28"/>
          <w:szCs w:val="28"/>
        </w:rPr>
        <w:t>ADIs</w:t>
      </w:r>
      <w:proofErr w:type="spellEnd"/>
      <w:r w:rsidRPr="00766710">
        <w:rPr>
          <w:b/>
          <w:bCs/>
          <w:sz w:val="28"/>
          <w:szCs w:val="28"/>
        </w:rPr>
        <w:t xml:space="preserve"> 4425 e 4357</w:t>
      </w:r>
      <w:r w:rsidRPr="00BE6E6D">
        <w:rPr>
          <w:sz w:val="28"/>
          <w:szCs w:val="28"/>
        </w:rPr>
        <w:t xml:space="preserve"> – como marco temporal para o início dos efeitos do acórdão embargado. </w:t>
      </w:r>
    </w:p>
    <w:p w14:paraId="4B1809D8" w14:textId="77777777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0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Após pedido de vista, o julgamento prosseguiu em 20/03/2019, com voto do e. </w:t>
      </w:r>
      <w:r w:rsidRPr="001E498B">
        <w:rPr>
          <w:smallCaps/>
          <w:sz w:val="28"/>
          <w:szCs w:val="28"/>
        </w:rPr>
        <w:t>Ministro Alexan</w:t>
      </w:r>
      <w:bookmarkStart w:id="0" w:name="_GoBack"/>
      <w:bookmarkEnd w:id="0"/>
      <w:r w:rsidRPr="001E498B">
        <w:rPr>
          <w:smallCaps/>
          <w:sz w:val="28"/>
          <w:szCs w:val="28"/>
        </w:rPr>
        <w:t>dre de Moraes</w:t>
      </w:r>
      <w:r w:rsidRPr="00BE6E6D">
        <w:rPr>
          <w:sz w:val="28"/>
          <w:szCs w:val="28"/>
        </w:rPr>
        <w:t xml:space="preserve">, que rejeitou todos os embargos declaratórios, afastando, por conseguinte, a modulação dos efeitos do acórdão que declarou inconstitucional a TR. </w:t>
      </w:r>
    </w:p>
    <w:p w14:paraId="743E6ED8" w14:textId="73AA7D9C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0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Acompanhou o Relator, pelo acolhimento dos embargos de declaração – e, portanto, pela modulação dos efeitos do acórdão embargado –, o </w:t>
      </w:r>
      <w:r w:rsidRPr="001E498B">
        <w:rPr>
          <w:smallCaps/>
          <w:sz w:val="28"/>
          <w:szCs w:val="28"/>
        </w:rPr>
        <w:t>Ministro Roberto Barroso</w:t>
      </w:r>
      <w:r w:rsidRPr="00BE6E6D">
        <w:rPr>
          <w:sz w:val="28"/>
          <w:szCs w:val="28"/>
        </w:rPr>
        <w:t xml:space="preserve">. Acompanharam a divergência, rejeitando os </w:t>
      </w:r>
      <w:proofErr w:type="spellStart"/>
      <w:r w:rsidRPr="00BE6E6D">
        <w:rPr>
          <w:sz w:val="28"/>
          <w:szCs w:val="28"/>
        </w:rPr>
        <w:t>aclaratórios</w:t>
      </w:r>
      <w:proofErr w:type="spellEnd"/>
      <w:r w:rsidRPr="00BE6E6D">
        <w:rPr>
          <w:sz w:val="28"/>
          <w:szCs w:val="28"/>
        </w:rPr>
        <w:t xml:space="preserve">, os </w:t>
      </w:r>
      <w:r w:rsidRPr="001E498B">
        <w:rPr>
          <w:smallCaps/>
          <w:sz w:val="28"/>
          <w:szCs w:val="28"/>
        </w:rPr>
        <w:t xml:space="preserve">Ministros Edson </w:t>
      </w:r>
      <w:proofErr w:type="spellStart"/>
      <w:r w:rsidRPr="001E498B">
        <w:rPr>
          <w:smallCaps/>
          <w:sz w:val="28"/>
          <w:szCs w:val="28"/>
        </w:rPr>
        <w:t>Fachin</w:t>
      </w:r>
      <w:proofErr w:type="spellEnd"/>
      <w:r w:rsidRPr="001E498B">
        <w:rPr>
          <w:smallCaps/>
          <w:sz w:val="28"/>
          <w:szCs w:val="28"/>
        </w:rPr>
        <w:t xml:space="preserve">, Rosa Weber, Ricardo </w:t>
      </w:r>
      <w:proofErr w:type="spellStart"/>
      <w:r w:rsidRPr="001E498B">
        <w:rPr>
          <w:smallCaps/>
          <w:sz w:val="28"/>
          <w:szCs w:val="28"/>
        </w:rPr>
        <w:t>Lewandowski</w:t>
      </w:r>
      <w:proofErr w:type="spellEnd"/>
      <w:r w:rsidRPr="00BE6E6D">
        <w:rPr>
          <w:sz w:val="28"/>
          <w:szCs w:val="28"/>
        </w:rPr>
        <w:t xml:space="preserve">, </w:t>
      </w:r>
      <w:r w:rsidRPr="001E498B">
        <w:rPr>
          <w:smallCaps/>
          <w:sz w:val="28"/>
          <w:szCs w:val="28"/>
        </w:rPr>
        <w:t>Marco Aurélio</w:t>
      </w:r>
      <w:r w:rsidRPr="00BE6E6D">
        <w:rPr>
          <w:sz w:val="28"/>
          <w:szCs w:val="28"/>
        </w:rPr>
        <w:t xml:space="preserve"> e </w:t>
      </w:r>
      <w:r w:rsidRPr="001E498B">
        <w:rPr>
          <w:smallCaps/>
          <w:sz w:val="28"/>
          <w:szCs w:val="28"/>
        </w:rPr>
        <w:t>Celso de Mello</w:t>
      </w:r>
      <w:r w:rsidRPr="00BE6E6D">
        <w:rPr>
          <w:sz w:val="28"/>
          <w:szCs w:val="28"/>
        </w:rPr>
        <w:t xml:space="preserve">. </w:t>
      </w:r>
    </w:p>
    <w:p w14:paraId="1A2F4A55" w14:textId="3EAE692C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0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Pediu vista o </w:t>
      </w:r>
      <w:r w:rsidRPr="001E498B">
        <w:rPr>
          <w:smallCaps/>
          <w:sz w:val="28"/>
          <w:szCs w:val="28"/>
        </w:rPr>
        <w:t>Ministro Gilmar Mendes</w:t>
      </w:r>
      <w:r w:rsidRPr="00BE6E6D">
        <w:rPr>
          <w:sz w:val="28"/>
          <w:szCs w:val="28"/>
        </w:rPr>
        <w:t xml:space="preserve">. </w:t>
      </w:r>
    </w:p>
    <w:p w14:paraId="5F400A8A" w14:textId="417B9373" w:rsidR="008E1E62" w:rsidRDefault="00F8003F" w:rsidP="00ED0DAC">
      <w:pPr>
        <w:spacing w:before="360" w:after="360" w:line="360" w:lineRule="auto"/>
        <w:rPr>
          <w:b/>
          <w:sz w:val="28"/>
          <w:szCs w:val="28"/>
        </w:rPr>
      </w:pPr>
      <w:r w:rsidRPr="00584314">
        <w:rPr>
          <w:b/>
          <w:sz w:val="28"/>
          <w:szCs w:val="28"/>
        </w:rPr>
        <w:t xml:space="preserve">II. </w:t>
      </w:r>
      <w:r w:rsidR="001B7830" w:rsidRPr="00584314">
        <w:rPr>
          <w:b/>
          <w:sz w:val="28"/>
          <w:szCs w:val="28"/>
        </w:rPr>
        <w:t>D</w:t>
      </w:r>
      <w:r w:rsidR="00BE6E6D">
        <w:rPr>
          <w:b/>
          <w:sz w:val="28"/>
          <w:szCs w:val="28"/>
        </w:rPr>
        <w:t xml:space="preserve">A </w:t>
      </w:r>
      <w:r w:rsidR="00791075">
        <w:rPr>
          <w:b/>
          <w:sz w:val="28"/>
          <w:szCs w:val="28"/>
        </w:rPr>
        <w:t>EFETIVA NECESSIDADE D</w:t>
      </w:r>
      <w:r w:rsidR="00BE6E6D">
        <w:rPr>
          <w:b/>
          <w:sz w:val="28"/>
          <w:szCs w:val="28"/>
        </w:rPr>
        <w:t>E</w:t>
      </w:r>
      <w:r w:rsidR="00791075">
        <w:rPr>
          <w:b/>
          <w:sz w:val="28"/>
          <w:szCs w:val="28"/>
        </w:rPr>
        <w:t xml:space="preserve"> </w:t>
      </w:r>
      <w:r w:rsidR="00BE6E6D">
        <w:rPr>
          <w:b/>
          <w:sz w:val="28"/>
          <w:szCs w:val="28"/>
        </w:rPr>
        <w:t>MODU</w:t>
      </w:r>
      <w:r w:rsidR="00791075">
        <w:rPr>
          <w:b/>
          <w:sz w:val="28"/>
          <w:szCs w:val="28"/>
        </w:rPr>
        <w:t>LA</w:t>
      </w:r>
      <w:r w:rsidR="00BE6E6D">
        <w:rPr>
          <w:b/>
          <w:sz w:val="28"/>
          <w:szCs w:val="28"/>
        </w:rPr>
        <w:t>ÇÃO DOS EFEITOS</w:t>
      </w:r>
    </w:p>
    <w:p w14:paraId="76B6B9FD" w14:textId="77777777" w:rsidR="00BE6E6D" w:rsidRP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8" w:firstLine="1418"/>
        <w:rPr>
          <w:sz w:val="28"/>
          <w:szCs w:val="28"/>
        </w:rPr>
      </w:pPr>
      <w:r w:rsidRPr="00BE6E6D">
        <w:rPr>
          <w:sz w:val="28"/>
          <w:szCs w:val="28"/>
        </w:rPr>
        <w:t xml:space="preserve">A jurisprudência desse c. Tribunal, antes da prolação do acórdão embargado, era pacífica no sentido da plena aplicação, aos processos em curso, do índice de correção monetária estabelecido no artigo 1º-F da Lei 9.494/97, na redação conferida pela Lei 11.960/09, para as condenações impostas à Fazenda Pública. A propósito: ACO 718, Rel. Min. Ricardo </w:t>
      </w:r>
      <w:proofErr w:type="spellStart"/>
      <w:r w:rsidRPr="00BE6E6D">
        <w:rPr>
          <w:sz w:val="28"/>
          <w:szCs w:val="28"/>
        </w:rPr>
        <w:t>Lewandowski</w:t>
      </w:r>
      <w:proofErr w:type="spellEnd"/>
      <w:r w:rsidRPr="00BE6E6D">
        <w:rPr>
          <w:sz w:val="28"/>
          <w:szCs w:val="28"/>
        </w:rPr>
        <w:t>,</w:t>
      </w:r>
      <w:r w:rsidRPr="00BE6E6D">
        <w:rPr>
          <w:spacing w:val="38"/>
          <w:sz w:val="28"/>
          <w:szCs w:val="28"/>
        </w:rPr>
        <w:t xml:space="preserve"> </w:t>
      </w:r>
      <w:proofErr w:type="spellStart"/>
      <w:r w:rsidRPr="00BE6E6D">
        <w:rPr>
          <w:sz w:val="28"/>
          <w:szCs w:val="28"/>
        </w:rPr>
        <w:t>DJe</w:t>
      </w:r>
      <w:proofErr w:type="spellEnd"/>
      <w:r w:rsidRPr="00BE6E6D">
        <w:rPr>
          <w:spacing w:val="38"/>
          <w:sz w:val="28"/>
          <w:szCs w:val="28"/>
        </w:rPr>
        <w:t xml:space="preserve"> </w:t>
      </w:r>
      <w:r w:rsidRPr="00BE6E6D">
        <w:rPr>
          <w:sz w:val="28"/>
          <w:szCs w:val="28"/>
        </w:rPr>
        <w:t>30.03.2017;</w:t>
      </w:r>
      <w:r w:rsidRPr="00BE6E6D">
        <w:rPr>
          <w:spacing w:val="41"/>
          <w:sz w:val="28"/>
          <w:szCs w:val="28"/>
        </w:rPr>
        <w:t xml:space="preserve"> </w:t>
      </w:r>
      <w:proofErr w:type="spellStart"/>
      <w:r w:rsidRPr="00BE6E6D">
        <w:rPr>
          <w:sz w:val="28"/>
          <w:szCs w:val="28"/>
        </w:rPr>
        <w:t>Rcl</w:t>
      </w:r>
      <w:proofErr w:type="spellEnd"/>
      <w:r w:rsidRPr="00BE6E6D">
        <w:rPr>
          <w:spacing w:val="40"/>
          <w:sz w:val="28"/>
          <w:szCs w:val="28"/>
        </w:rPr>
        <w:t xml:space="preserve"> </w:t>
      </w:r>
      <w:r w:rsidRPr="00BE6E6D">
        <w:rPr>
          <w:sz w:val="28"/>
          <w:szCs w:val="28"/>
        </w:rPr>
        <w:t>17.814/RS,</w:t>
      </w:r>
      <w:r w:rsidRPr="00BE6E6D">
        <w:rPr>
          <w:spacing w:val="37"/>
          <w:sz w:val="28"/>
          <w:szCs w:val="28"/>
        </w:rPr>
        <w:t xml:space="preserve"> </w:t>
      </w:r>
      <w:r w:rsidRPr="00BE6E6D">
        <w:rPr>
          <w:sz w:val="28"/>
          <w:szCs w:val="28"/>
        </w:rPr>
        <w:t>Rel.</w:t>
      </w:r>
      <w:r w:rsidRPr="00BE6E6D">
        <w:rPr>
          <w:spacing w:val="40"/>
          <w:sz w:val="28"/>
          <w:szCs w:val="28"/>
        </w:rPr>
        <w:t xml:space="preserve"> </w:t>
      </w:r>
      <w:r w:rsidRPr="00BE6E6D">
        <w:rPr>
          <w:sz w:val="28"/>
          <w:szCs w:val="28"/>
        </w:rPr>
        <w:t>Min.</w:t>
      </w:r>
      <w:r w:rsidRPr="00BE6E6D">
        <w:rPr>
          <w:spacing w:val="36"/>
          <w:sz w:val="28"/>
          <w:szCs w:val="28"/>
        </w:rPr>
        <w:t xml:space="preserve"> </w:t>
      </w:r>
      <w:r w:rsidRPr="00BE6E6D">
        <w:rPr>
          <w:sz w:val="28"/>
          <w:szCs w:val="28"/>
        </w:rPr>
        <w:t>Rosa</w:t>
      </w:r>
      <w:r w:rsidRPr="00BE6E6D">
        <w:rPr>
          <w:spacing w:val="38"/>
          <w:sz w:val="28"/>
          <w:szCs w:val="28"/>
        </w:rPr>
        <w:t xml:space="preserve"> </w:t>
      </w:r>
      <w:r w:rsidRPr="00BE6E6D">
        <w:rPr>
          <w:sz w:val="28"/>
          <w:szCs w:val="28"/>
        </w:rPr>
        <w:t>Weber,</w:t>
      </w:r>
      <w:r w:rsidRPr="00BE6E6D">
        <w:rPr>
          <w:spacing w:val="38"/>
          <w:sz w:val="28"/>
          <w:szCs w:val="28"/>
        </w:rPr>
        <w:t xml:space="preserve"> </w:t>
      </w:r>
      <w:proofErr w:type="spellStart"/>
      <w:r w:rsidRPr="00BE6E6D">
        <w:rPr>
          <w:sz w:val="28"/>
          <w:szCs w:val="28"/>
        </w:rPr>
        <w:t>DJe</w:t>
      </w:r>
      <w:proofErr w:type="spellEnd"/>
      <w:r w:rsidRPr="00BE6E6D">
        <w:rPr>
          <w:spacing w:val="38"/>
          <w:sz w:val="28"/>
          <w:szCs w:val="28"/>
        </w:rPr>
        <w:t xml:space="preserve"> </w:t>
      </w:r>
      <w:r w:rsidRPr="00BE6E6D">
        <w:rPr>
          <w:sz w:val="28"/>
          <w:szCs w:val="28"/>
        </w:rPr>
        <w:t>15.03.2017;</w:t>
      </w:r>
      <w:r w:rsidRPr="00BE6E6D">
        <w:rPr>
          <w:spacing w:val="37"/>
          <w:sz w:val="28"/>
          <w:szCs w:val="28"/>
        </w:rPr>
        <w:t xml:space="preserve"> </w:t>
      </w:r>
      <w:proofErr w:type="spellStart"/>
      <w:r w:rsidRPr="00BE6E6D">
        <w:rPr>
          <w:sz w:val="28"/>
          <w:szCs w:val="28"/>
        </w:rPr>
        <w:t>Rcl</w:t>
      </w:r>
      <w:proofErr w:type="spellEnd"/>
      <w:r w:rsidRPr="00BE6E6D">
        <w:rPr>
          <w:sz w:val="28"/>
          <w:szCs w:val="28"/>
        </w:rPr>
        <w:t xml:space="preserve"> 17.873/DF, Rel. Min. Edson </w:t>
      </w:r>
      <w:proofErr w:type="spellStart"/>
      <w:r w:rsidRPr="00BE6E6D">
        <w:rPr>
          <w:sz w:val="28"/>
          <w:szCs w:val="28"/>
        </w:rPr>
        <w:t>Fachin</w:t>
      </w:r>
      <w:proofErr w:type="spellEnd"/>
      <w:r w:rsidRPr="00BE6E6D">
        <w:rPr>
          <w:sz w:val="28"/>
          <w:szCs w:val="28"/>
        </w:rPr>
        <w:t xml:space="preserve">, </w:t>
      </w:r>
      <w:proofErr w:type="spellStart"/>
      <w:r w:rsidRPr="00BE6E6D">
        <w:rPr>
          <w:sz w:val="28"/>
          <w:szCs w:val="28"/>
        </w:rPr>
        <w:t>DJe</w:t>
      </w:r>
      <w:proofErr w:type="spellEnd"/>
      <w:r w:rsidRPr="00BE6E6D">
        <w:rPr>
          <w:sz w:val="28"/>
          <w:szCs w:val="28"/>
        </w:rPr>
        <w:t xml:space="preserve"> 10.05.2016; MC na </w:t>
      </w:r>
      <w:proofErr w:type="spellStart"/>
      <w:r w:rsidRPr="00BE6E6D">
        <w:rPr>
          <w:sz w:val="28"/>
          <w:szCs w:val="28"/>
        </w:rPr>
        <w:t>Rcl</w:t>
      </w:r>
      <w:proofErr w:type="spellEnd"/>
      <w:r w:rsidRPr="00BE6E6D">
        <w:rPr>
          <w:sz w:val="28"/>
          <w:szCs w:val="28"/>
        </w:rPr>
        <w:t xml:space="preserve"> 25.321/GO, </w:t>
      </w:r>
      <w:r w:rsidRPr="00BE6E6D">
        <w:rPr>
          <w:sz w:val="28"/>
          <w:szCs w:val="28"/>
        </w:rPr>
        <w:lastRenderedPageBreak/>
        <w:t xml:space="preserve">Rel. Min. Celso de Mello, </w:t>
      </w:r>
      <w:proofErr w:type="spellStart"/>
      <w:r w:rsidRPr="00BE6E6D">
        <w:rPr>
          <w:sz w:val="28"/>
          <w:szCs w:val="28"/>
        </w:rPr>
        <w:t>DJe</w:t>
      </w:r>
      <w:proofErr w:type="spellEnd"/>
      <w:r w:rsidRPr="00BE6E6D">
        <w:rPr>
          <w:sz w:val="28"/>
          <w:szCs w:val="28"/>
        </w:rPr>
        <w:t xml:space="preserve"> 12.12.2016; </w:t>
      </w:r>
      <w:proofErr w:type="spellStart"/>
      <w:r w:rsidRPr="00BE6E6D">
        <w:rPr>
          <w:sz w:val="28"/>
          <w:szCs w:val="28"/>
        </w:rPr>
        <w:t>Rcl</w:t>
      </w:r>
      <w:proofErr w:type="spellEnd"/>
      <w:r w:rsidRPr="00BE6E6D">
        <w:rPr>
          <w:sz w:val="28"/>
          <w:szCs w:val="28"/>
        </w:rPr>
        <w:t xml:space="preserve"> 25.534/RS, Rel. Min. </w:t>
      </w:r>
      <w:proofErr w:type="spellStart"/>
      <w:r w:rsidRPr="00BE6E6D">
        <w:rPr>
          <w:sz w:val="28"/>
          <w:szCs w:val="28"/>
        </w:rPr>
        <w:t>Teori</w:t>
      </w:r>
      <w:proofErr w:type="spellEnd"/>
      <w:r w:rsidRPr="00BE6E6D">
        <w:rPr>
          <w:sz w:val="28"/>
          <w:szCs w:val="28"/>
        </w:rPr>
        <w:t xml:space="preserve"> Zavascki, </w:t>
      </w:r>
      <w:proofErr w:type="spellStart"/>
      <w:r w:rsidRPr="00BE6E6D">
        <w:rPr>
          <w:sz w:val="28"/>
          <w:szCs w:val="28"/>
        </w:rPr>
        <w:t>DJe</w:t>
      </w:r>
      <w:proofErr w:type="spellEnd"/>
      <w:r w:rsidRPr="00BE6E6D">
        <w:rPr>
          <w:sz w:val="28"/>
          <w:szCs w:val="28"/>
        </w:rPr>
        <w:t xml:space="preserve"> 18.11.2016; MC na </w:t>
      </w:r>
      <w:proofErr w:type="spellStart"/>
      <w:r w:rsidRPr="00BE6E6D">
        <w:rPr>
          <w:sz w:val="28"/>
          <w:szCs w:val="28"/>
        </w:rPr>
        <w:t>Rcl</w:t>
      </w:r>
      <w:proofErr w:type="spellEnd"/>
      <w:r w:rsidRPr="00BE6E6D">
        <w:rPr>
          <w:sz w:val="28"/>
          <w:szCs w:val="28"/>
        </w:rPr>
        <w:t xml:space="preserve"> 25.456/DF, Rel. Min. Marco Aurélio, </w:t>
      </w:r>
      <w:proofErr w:type="spellStart"/>
      <w:r w:rsidRPr="00BE6E6D">
        <w:rPr>
          <w:sz w:val="28"/>
          <w:szCs w:val="28"/>
        </w:rPr>
        <w:t>DJe</w:t>
      </w:r>
      <w:proofErr w:type="spellEnd"/>
      <w:r w:rsidRPr="00BE6E6D">
        <w:rPr>
          <w:sz w:val="28"/>
          <w:szCs w:val="28"/>
        </w:rPr>
        <w:t xml:space="preserve"> 16.11.2016.</w:t>
      </w:r>
    </w:p>
    <w:p w14:paraId="5B0A1046" w14:textId="5F343206" w:rsid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8" w:firstLine="1418"/>
        <w:rPr>
          <w:i/>
          <w:sz w:val="28"/>
          <w:szCs w:val="28"/>
        </w:rPr>
      </w:pPr>
      <w:r w:rsidRPr="00BE6E6D">
        <w:rPr>
          <w:sz w:val="28"/>
          <w:szCs w:val="28"/>
        </w:rPr>
        <w:t>No próprio acórdão que reconheceu a repercussão gera</w:t>
      </w:r>
      <w:r w:rsidR="00E174A2">
        <w:rPr>
          <w:sz w:val="28"/>
          <w:szCs w:val="28"/>
        </w:rPr>
        <w:t>l no presente RE 870.947/SE, ess</w:t>
      </w:r>
      <w:r w:rsidRPr="00BE6E6D">
        <w:rPr>
          <w:sz w:val="28"/>
          <w:szCs w:val="28"/>
        </w:rPr>
        <w:t xml:space="preserve">a </w:t>
      </w:r>
      <w:r w:rsidRPr="00BE6E6D">
        <w:rPr>
          <w:b/>
          <w:sz w:val="28"/>
          <w:szCs w:val="28"/>
        </w:rPr>
        <w:t>Suprema Corte registrou expressamente que o artigo 1</w:t>
      </w:r>
      <w:r w:rsidR="00E174A2">
        <w:rPr>
          <w:b/>
          <w:sz w:val="28"/>
          <w:szCs w:val="28"/>
        </w:rPr>
        <w:t>º</w:t>
      </w:r>
      <w:r w:rsidRPr="00BE6E6D">
        <w:rPr>
          <w:b/>
          <w:sz w:val="28"/>
          <w:szCs w:val="28"/>
        </w:rPr>
        <w:t xml:space="preserve">-F da Lei 9.494/97 </w:t>
      </w:r>
      <w:r w:rsidRPr="00BE6E6D">
        <w:rPr>
          <w:b/>
          <w:sz w:val="28"/>
          <w:szCs w:val="28"/>
          <w:u w:val="thick"/>
        </w:rPr>
        <w:t>continuava em pleno vigor</w:t>
      </w:r>
      <w:r w:rsidRPr="00BE6E6D">
        <w:rPr>
          <w:b/>
          <w:sz w:val="28"/>
          <w:szCs w:val="28"/>
        </w:rPr>
        <w:t xml:space="preserve">. </w:t>
      </w:r>
      <w:r w:rsidRPr="00BE6E6D">
        <w:rPr>
          <w:sz w:val="28"/>
          <w:szCs w:val="28"/>
        </w:rPr>
        <w:t>Confira-se,</w:t>
      </w:r>
      <w:r w:rsidRPr="00BE6E6D">
        <w:rPr>
          <w:spacing w:val="-5"/>
          <w:sz w:val="28"/>
          <w:szCs w:val="28"/>
        </w:rPr>
        <w:t xml:space="preserve"> </w:t>
      </w:r>
      <w:proofErr w:type="spellStart"/>
      <w:r w:rsidRPr="00BE6E6D">
        <w:rPr>
          <w:i/>
          <w:sz w:val="28"/>
          <w:szCs w:val="28"/>
        </w:rPr>
        <w:t>verbis</w:t>
      </w:r>
      <w:proofErr w:type="spellEnd"/>
      <w:r w:rsidRPr="00BE6E6D">
        <w:rPr>
          <w:i/>
          <w:sz w:val="28"/>
          <w:szCs w:val="28"/>
        </w:rPr>
        <w:t>:</w:t>
      </w:r>
    </w:p>
    <w:p w14:paraId="6D65AC9C" w14:textId="415DA03E" w:rsidR="00BE6E6D" w:rsidRPr="00BE6E6D" w:rsidRDefault="00BE6E6D" w:rsidP="00ED0DAC">
      <w:pPr>
        <w:spacing w:before="90" w:after="360"/>
        <w:ind w:left="2268" w:right="103"/>
        <w:rPr>
          <w:iCs/>
        </w:rPr>
      </w:pPr>
      <w:r w:rsidRPr="00BE6E6D">
        <w:rPr>
          <w:iCs/>
        </w:rPr>
        <w:t xml:space="preserve">Na parte em que rege a </w:t>
      </w:r>
      <w:r w:rsidRPr="00BE6E6D">
        <w:rPr>
          <w:b/>
          <w:iCs/>
        </w:rPr>
        <w:t xml:space="preserve">atualização monetária das condenações impostas à Fazenda Pública </w:t>
      </w:r>
      <w:r w:rsidRPr="00BE6E6D">
        <w:rPr>
          <w:iCs/>
        </w:rPr>
        <w:t>até a expedição do requisitório (</w:t>
      </w:r>
      <w:proofErr w:type="spellStart"/>
      <w:r w:rsidRPr="00BE6E6D">
        <w:rPr>
          <w:iCs/>
        </w:rPr>
        <w:t>i.e</w:t>
      </w:r>
      <w:proofErr w:type="spellEnd"/>
      <w:r w:rsidRPr="00BE6E6D">
        <w:rPr>
          <w:iCs/>
        </w:rPr>
        <w:t xml:space="preserve"> entre o dano efetivo/ajuizamento da demanda e a condenação), </w:t>
      </w:r>
      <w:r w:rsidRPr="00BE6E6D">
        <w:rPr>
          <w:b/>
          <w:iCs/>
        </w:rPr>
        <w:t xml:space="preserve">o art. 1º-F da Lei n° 9.494/97 </w:t>
      </w:r>
      <w:r w:rsidRPr="00BE6E6D">
        <w:rPr>
          <w:iCs/>
        </w:rPr>
        <w:t xml:space="preserve">ainda não foi objeto de pronunciamento expresso do Supremo Tribunal Federal quanto à sua constitucionalidade e, portanto, </w:t>
      </w:r>
      <w:r w:rsidRPr="00BE6E6D">
        <w:rPr>
          <w:b/>
          <w:iCs/>
          <w:u w:val="thick"/>
        </w:rPr>
        <w:t>continua em</w:t>
      </w:r>
      <w:r w:rsidRPr="00BE6E6D">
        <w:rPr>
          <w:b/>
          <w:iCs/>
        </w:rPr>
        <w:t xml:space="preserve"> </w:t>
      </w:r>
      <w:r w:rsidRPr="00BE6E6D">
        <w:rPr>
          <w:b/>
          <w:iCs/>
          <w:u w:val="thick"/>
        </w:rPr>
        <w:t xml:space="preserve">pleno </w:t>
      </w:r>
      <w:proofErr w:type="gramStart"/>
      <w:r w:rsidRPr="00BE6E6D">
        <w:rPr>
          <w:b/>
          <w:iCs/>
          <w:u w:val="thick"/>
        </w:rPr>
        <w:t>vigor.</w:t>
      </w:r>
      <w:r w:rsidRPr="00BE6E6D">
        <w:rPr>
          <w:iCs/>
        </w:rPr>
        <w:t>”</w:t>
      </w:r>
      <w:proofErr w:type="gramEnd"/>
      <w:r w:rsidRPr="00BE6E6D">
        <w:rPr>
          <w:iCs/>
        </w:rPr>
        <w:t xml:space="preserve"> (</w:t>
      </w:r>
      <w:proofErr w:type="spellStart"/>
      <w:proofErr w:type="gramStart"/>
      <w:r w:rsidRPr="00BE6E6D">
        <w:rPr>
          <w:iCs/>
        </w:rPr>
        <w:t>g.n</w:t>
      </w:r>
      <w:proofErr w:type="spellEnd"/>
      <w:r w:rsidRPr="00BE6E6D">
        <w:rPr>
          <w:iCs/>
        </w:rPr>
        <w:t>.</w:t>
      </w:r>
      <w:proofErr w:type="gramEnd"/>
      <w:r w:rsidRPr="00BE6E6D">
        <w:rPr>
          <w:iCs/>
        </w:rPr>
        <w:t xml:space="preserve"> – p. 17 do acórdão)</w:t>
      </w:r>
    </w:p>
    <w:p w14:paraId="5DC127EB" w14:textId="77777777" w:rsidR="00BE6E6D" w:rsidRPr="00E174A2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  <w:r w:rsidRPr="00E174A2">
        <w:rPr>
          <w:sz w:val="28"/>
          <w:szCs w:val="28"/>
        </w:rPr>
        <w:t xml:space="preserve">Não bastasse, os dois Tribunais Superiores que também enfrentam a matéria atinente à incidência do artigo 1º-F da Lei 9.494/97 na correção monetária das condenações da Fazenda Pública também já haviam consolidado suas jurisprudências no sentido da plena vigência e aplicabilidade desse dispositivo legal. No âmbito do e. </w:t>
      </w:r>
      <w:r w:rsidRPr="00E174A2">
        <w:rPr>
          <w:b/>
          <w:bCs/>
          <w:sz w:val="28"/>
          <w:szCs w:val="28"/>
        </w:rPr>
        <w:t>Superior Tribunal de Justiça</w:t>
      </w:r>
      <w:r w:rsidRPr="00E174A2">
        <w:rPr>
          <w:sz w:val="28"/>
          <w:szCs w:val="28"/>
        </w:rPr>
        <w:t xml:space="preserve">: RESP Repetitivo nº 1.205.946/SP (Tema 491). No </w:t>
      </w:r>
      <w:r w:rsidRPr="00E174A2">
        <w:rPr>
          <w:b/>
          <w:bCs/>
          <w:sz w:val="28"/>
          <w:szCs w:val="28"/>
        </w:rPr>
        <w:t>Tribunal Superior do Trabalho</w:t>
      </w:r>
      <w:r w:rsidRPr="00E174A2">
        <w:rPr>
          <w:sz w:val="28"/>
          <w:szCs w:val="28"/>
        </w:rPr>
        <w:t>: OJ nº</w:t>
      </w:r>
      <w:r w:rsidRPr="00E174A2">
        <w:rPr>
          <w:spacing w:val="-2"/>
          <w:sz w:val="28"/>
          <w:szCs w:val="28"/>
        </w:rPr>
        <w:t xml:space="preserve"> </w:t>
      </w:r>
      <w:r w:rsidRPr="00E174A2">
        <w:rPr>
          <w:sz w:val="28"/>
          <w:szCs w:val="28"/>
        </w:rPr>
        <w:t>7/TST-Pleno.</w:t>
      </w:r>
    </w:p>
    <w:p w14:paraId="562537A3" w14:textId="77777777" w:rsidR="00BE6E6D" w:rsidRPr="00E174A2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  <w:r w:rsidRPr="00E174A2">
        <w:rPr>
          <w:sz w:val="28"/>
          <w:szCs w:val="28"/>
        </w:rPr>
        <w:t xml:space="preserve">Sendo assim, </w:t>
      </w:r>
      <w:r w:rsidRPr="00E174A2">
        <w:rPr>
          <w:b/>
          <w:sz w:val="28"/>
          <w:szCs w:val="28"/>
        </w:rPr>
        <w:t>não há dúvidas de que se está diante de uma alteração na jurisprudência consolidada do e. Supremo Tribunal Federal e dos demais Tribunais Superiores</w:t>
      </w:r>
      <w:r w:rsidRPr="00E174A2">
        <w:rPr>
          <w:sz w:val="28"/>
          <w:szCs w:val="28"/>
        </w:rPr>
        <w:t>, o que atrai a incidência do art. 927, § 3º, do CPC, a autorizar a modulação dos efeitos da declaração de</w:t>
      </w:r>
      <w:r w:rsidRPr="00E174A2">
        <w:rPr>
          <w:spacing w:val="-6"/>
          <w:sz w:val="28"/>
          <w:szCs w:val="28"/>
        </w:rPr>
        <w:t xml:space="preserve"> </w:t>
      </w:r>
      <w:r w:rsidRPr="00E174A2">
        <w:rPr>
          <w:sz w:val="28"/>
          <w:szCs w:val="28"/>
        </w:rPr>
        <w:t>inconstitucionalidade.</w:t>
      </w:r>
    </w:p>
    <w:p w14:paraId="6CD45D2D" w14:textId="0D19A42B" w:rsid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  <w:r w:rsidRPr="00E174A2">
        <w:rPr>
          <w:sz w:val="28"/>
          <w:szCs w:val="28"/>
        </w:rPr>
        <w:t xml:space="preserve">Acrescente-se a necessidade de se resguardar a segurança jurídica, o interesse público e outros valores tutelados pelo sistema jurídico-constitucional brasileiro, como a ordem social e, em especial, a ordem </w:t>
      </w:r>
      <w:proofErr w:type="spellStart"/>
      <w:r w:rsidRPr="00E174A2">
        <w:rPr>
          <w:sz w:val="28"/>
          <w:szCs w:val="28"/>
        </w:rPr>
        <w:t>econômica-financeira</w:t>
      </w:r>
      <w:proofErr w:type="spellEnd"/>
      <w:r w:rsidRPr="00E174A2">
        <w:rPr>
          <w:sz w:val="28"/>
          <w:szCs w:val="28"/>
        </w:rPr>
        <w:t xml:space="preserve"> do Estado. </w:t>
      </w:r>
    </w:p>
    <w:p w14:paraId="2BBBC948" w14:textId="77777777" w:rsidR="00ED0DAC" w:rsidRPr="00E174A2" w:rsidRDefault="00ED0DAC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</w:p>
    <w:p w14:paraId="2A0775F2" w14:textId="638FE392" w:rsidR="00BE6E6D" w:rsidRPr="00E174A2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2" w:firstLine="1418"/>
        <w:rPr>
          <w:sz w:val="28"/>
          <w:szCs w:val="28"/>
        </w:rPr>
      </w:pPr>
      <w:r w:rsidRPr="00E174A2">
        <w:rPr>
          <w:sz w:val="28"/>
          <w:szCs w:val="28"/>
        </w:rPr>
        <w:lastRenderedPageBreak/>
        <w:t>O art. 1º-F da Lei 9.494/97 está em vigor há quase 10 anos e incide sobre centenas de milhares de processos judiciais</w:t>
      </w:r>
      <w:r w:rsidRPr="00E174A2">
        <w:rPr>
          <w:position w:val="9"/>
          <w:sz w:val="28"/>
          <w:szCs w:val="28"/>
        </w:rPr>
        <w:t xml:space="preserve"> </w:t>
      </w:r>
      <w:r w:rsidRPr="00E174A2">
        <w:rPr>
          <w:sz w:val="28"/>
          <w:szCs w:val="28"/>
        </w:rPr>
        <w:t>envolvendo a Fazenda Pública em todas as suas esferas (federal, estadual, distrital e municipal), com gigantesco impacto aos cofres</w:t>
      </w:r>
      <w:r w:rsidRPr="00E174A2">
        <w:rPr>
          <w:spacing w:val="-5"/>
          <w:sz w:val="28"/>
          <w:szCs w:val="28"/>
        </w:rPr>
        <w:t xml:space="preserve"> </w:t>
      </w:r>
      <w:r w:rsidRPr="00E174A2">
        <w:rPr>
          <w:sz w:val="28"/>
          <w:szCs w:val="28"/>
        </w:rPr>
        <w:t>públicos.</w:t>
      </w:r>
    </w:p>
    <w:p w14:paraId="7B447C48" w14:textId="77777777" w:rsidR="00BE6E6D" w:rsidRPr="00E174A2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3" w:firstLine="1418"/>
        <w:rPr>
          <w:sz w:val="28"/>
          <w:szCs w:val="28"/>
        </w:rPr>
      </w:pPr>
      <w:r w:rsidRPr="00E174A2">
        <w:rPr>
          <w:sz w:val="28"/>
          <w:szCs w:val="28"/>
        </w:rPr>
        <w:t xml:space="preserve">O primeiro cálculo trazido aos autos pelo INSS, que se referia </w:t>
      </w:r>
      <w:r w:rsidRPr="00E174A2">
        <w:rPr>
          <w:sz w:val="28"/>
          <w:szCs w:val="28"/>
          <w:u w:val="single"/>
        </w:rPr>
        <w:t>exclusivamente</w:t>
      </w:r>
      <w:r w:rsidRPr="00E174A2">
        <w:rPr>
          <w:sz w:val="28"/>
          <w:szCs w:val="28"/>
        </w:rPr>
        <w:t xml:space="preserve"> aos precatórios/</w:t>
      </w:r>
      <w:proofErr w:type="spellStart"/>
      <w:r w:rsidRPr="00E174A2">
        <w:rPr>
          <w:sz w:val="28"/>
          <w:szCs w:val="28"/>
        </w:rPr>
        <w:t>RPVs</w:t>
      </w:r>
      <w:proofErr w:type="spellEnd"/>
      <w:r w:rsidRPr="00E174A2">
        <w:rPr>
          <w:sz w:val="28"/>
          <w:szCs w:val="28"/>
        </w:rPr>
        <w:t xml:space="preserve"> de natureza não-tributária da União Federal e do INSS </w:t>
      </w:r>
      <w:r w:rsidRPr="00E174A2">
        <w:rPr>
          <w:sz w:val="28"/>
          <w:szCs w:val="28"/>
          <w:u w:val="single"/>
        </w:rPr>
        <w:t>inscritos no orçamento de 2017</w:t>
      </w:r>
      <w:r w:rsidRPr="00E174A2">
        <w:rPr>
          <w:sz w:val="28"/>
          <w:szCs w:val="28"/>
        </w:rPr>
        <w:t xml:space="preserve">, já apontava um impacto aproximado de R$ 7 bilhões, apenas no âmbito Justiça Federal. </w:t>
      </w:r>
    </w:p>
    <w:p w14:paraId="0D60DF47" w14:textId="605E9375" w:rsidR="00BE6E6D" w:rsidRPr="00E174A2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12" w:firstLine="1418"/>
        <w:rPr>
          <w:b/>
          <w:sz w:val="28"/>
          <w:szCs w:val="28"/>
        </w:rPr>
      </w:pPr>
      <w:r w:rsidRPr="00E174A2">
        <w:rPr>
          <w:sz w:val="28"/>
          <w:szCs w:val="28"/>
        </w:rPr>
        <w:t xml:space="preserve">Pois bem. </w:t>
      </w:r>
      <w:r w:rsidRPr="00E174A2">
        <w:rPr>
          <w:b/>
          <w:sz w:val="28"/>
          <w:szCs w:val="28"/>
        </w:rPr>
        <w:t>No Parecer Técnico nº 2276-I/2018-DCP/PGU/AGU (em anexo), o Departamento de Cálculos e Perícias da Advocacia-Geral da União (DCP/AGU) elaborou novo cálculo que apresenta estimativa do impacto decorrente da declaração de inconstitucionalidade do art. 1º-F da Lei 9.494/97 sobre precatórios/</w:t>
      </w:r>
      <w:proofErr w:type="spellStart"/>
      <w:r w:rsidRPr="00E174A2">
        <w:rPr>
          <w:b/>
          <w:sz w:val="28"/>
          <w:szCs w:val="28"/>
        </w:rPr>
        <w:t>RPVs</w:t>
      </w:r>
      <w:proofErr w:type="spellEnd"/>
      <w:r w:rsidRPr="00E174A2">
        <w:rPr>
          <w:b/>
          <w:sz w:val="28"/>
          <w:szCs w:val="28"/>
        </w:rPr>
        <w:t xml:space="preserve"> da Fazenda Pública Federal </w:t>
      </w:r>
      <w:r w:rsidRPr="00E174A2">
        <w:rPr>
          <w:b/>
          <w:sz w:val="28"/>
          <w:szCs w:val="28"/>
          <w:u w:val="single"/>
        </w:rPr>
        <w:t>inscritos no orçamento entre 2011 e 2017. Chegou-se à quantia astronômica de R$ 40.817.159.359,37</w:t>
      </w:r>
      <w:r w:rsidRPr="00E174A2">
        <w:rPr>
          <w:b/>
          <w:sz w:val="28"/>
          <w:szCs w:val="28"/>
        </w:rPr>
        <w:t xml:space="preserve"> (quarenta bilhões, oitocentos e dezessete milhões, cento e cinquenta e nove mil, trezentos e cinquenta e nove reais e trinta e sete centavos), apenas no âmbito da Justiça Federal.</w:t>
      </w:r>
    </w:p>
    <w:p w14:paraId="586269DA" w14:textId="11CC0DF7" w:rsidR="00BE6E6D" w:rsidRPr="00C114E1" w:rsidRDefault="00BE6E6D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  <w:rPr>
          <w:sz w:val="28"/>
          <w:szCs w:val="28"/>
        </w:rPr>
      </w:pPr>
      <w:r w:rsidRPr="00C114E1">
        <w:rPr>
          <w:sz w:val="28"/>
          <w:szCs w:val="28"/>
          <w:shd w:val="clear" w:color="auto" w:fill="FFFFFF"/>
        </w:rPr>
        <w:t xml:space="preserve">No referido Parecer, o DCP/AGU estimou o impacto da inconstitucionalidade do artigo 1º-F da Lei 9.494/1997, conforme quadros adiante, indicando os valores do acréscimo com o qual a União arcaria no caso de ter seus débitos corrigidos pelo IPCA-e desde </w:t>
      </w:r>
      <w:proofErr w:type="spellStart"/>
      <w:r w:rsidRPr="00C114E1">
        <w:rPr>
          <w:sz w:val="28"/>
          <w:szCs w:val="28"/>
          <w:shd w:val="clear" w:color="auto" w:fill="FFFFFF"/>
        </w:rPr>
        <w:t>jul</w:t>
      </w:r>
      <w:proofErr w:type="spellEnd"/>
      <w:r w:rsidRPr="00C114E1">
        <w:rPr>
          <w:sz w:val="28"/>
          <w:szCs w:val="28"/>
          <w:shd w:val="clear" w:color="auto" w:fill="FFFFFF"/>
        </w:rPr>
        <w:t>/2009:</w:t>
      </w:r>
      <w:r w:rsidRPr="00C114E1">
        <w:rPr>
          <w:sz w:val="28"/>
          <w:szCs w:val="28"/>
        </w:rPr>
        <w:t xml:space="preserve">    </w:t>
      </w:r>
    </w:p>
    <w:p w14:paraId="5C4075F9" w14:textId="38A4956D" w:rsidR="00ED0DAC" w:rsidRDefault="00ED0DAC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</w:pPr>
    </w:p>
    <w:p w14:paraId="1D054F94" w14:textId="182F0D20" w:rsidR="00ED0DAC" w:rsidRDefault="00ED0DAC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</w:pPr>
    </w:p>
    <w:p w14:paraId="60174DE7" w14:textId="6FFC3E08" w:rsidR="00ED0DAC" w:rsidRDefault="00ED0DAC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</w:pPr>
    </w:p>
    <w:p w14:paraId="3AE49DD6" w14:textId="1BDF8F97" w:rsidR="00ED0DAC" w:rsidRDefault="00ED0DAC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</w:pPr>
    </w:p>
    <w:p w14:paraId="6A94435C" w14:textId="10021098" w:rsidR="00ED0DAC" w:rsidRDefault="00ED0DAC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</w:pPr>
    </w:p>
    <w:p w14:paraId="3A434454" w14:textId="77777777" w:rsidR="00ED0DAC" w:rsidRDefault="00ED0DAC" w:rsidP="00BE6E6D">
      <w:pPr>
        <w:widowControl w:val="0"/>
        <w:tabs>
          <w:tab w:val="left" w:pos="1276"/>
        </w:tabs>
        <w:autoSpaceDE w:val="0"/>
        <w:autoSpaceDN w:val="0"/>
        <w:spacing w:before="1" w:line="352" w:lineRule="auto"/>
        <w:ind w:right="112" w:firstLine="1418"/>
      </w:pPr>
    </w:p>
    <w:tbl>
      <w:tblPr>
        <w:tblW w:w="1008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4815"/>
        <w:gridCol w:w="2977"/>
        <w:gridCol w:w="382"/>
        <w:gridCol w:w="1319"/>
        <w:gridCol w:w="160"/>
      </w:tblGrid>
      <w:tr w:rsidR="00BE6E6D" w:rsidRPr="006B2E00" w14:paraId="2B830F14" w14:textId="77777777" w:rsidTr="009F5F47">
        <w:trPr>
          <w:gridAfter w:val="1"/>
          <w:wAfter w:w="160" w:type="dxa"/>
          <w:trHeight w:val="458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2981" w14:textId="77777777" w:rsidR="00885AAB" w:rsidRDefault="00885AAB" w:rsidP="009F5F47">
            <w:pPr>
              <w:ind w:left="286"/>
              <w:jc w:val="center"/>
              <w:rPr>
                <w:rFonts w:ascii="Calibri" w:hAnsi="Calibri"/>
                <w:bCs/>
                <w:color w:val="000000"/>
              </w:rPr>
            </w:pPr>
          </w:p>
          <w:p w14:paraId="4AD6DDEF" w14:textId="72ACC19A" w:rsidR="00BE6E6D" w:rsidRDefault="00BE6E6D" w:rsidP="009F5F47">
            <w:pPr>
              <w:ind w:left="286"/>
              <w:jc w:val="center"/>
              <w:rPr>
                <w:rFonts w:ascii="Calibri" w:hAnsi="Calibri"/>
                <w:bCs/>
                <w:color w:val="000000"/>
              </w:rPr>
            </w:pPr>
            <w:r w:rsidRPr="006B2E00">
              <w:rPr>
                <w:rFonts w:ascii="Calibri" w:hAnsi="Calibri"/>
                <w:bCs/>
                <w:color w:val="000000"/>
              </w:rPr>
              <w:lastRenderedPageBreak/>
              <w:t>DEMONSTRATIVO DO IMPACTO DO VALOR DA DIFERENÇA ENTRE A TR E O IPCA-E NOS PRECATÓRIOS</w:t>
            </w:r>
            <w:r>
              <w:rPr>
                <w:rFonts w:ascii="Calibri" w:hAnsi="Calibri"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RPVs</w:t>
            </w:r>
            <w:proofErr w:type="spellEnd"/>
            <w:r w:rsidRPr="006B2E00">
              <w:rPr>
                <w:rFonts w:ascii="Calibri" w:hAnsi="Calibri"/>
                <w:bCs/>
                <w:color w:val="000000"/>
              </w:rPr>
              <w:t xml:space="preserve"> DA JUSTIÇA FEDERAL - UNIÃO, INSS E AUTARQUIAS</w:t>
            </w:r>
          </w:p>
          <w:p w14:paraId="300CE9ED" w14:textId="77777777" w:rsidR="00BE6E6D" w:rsidRDefault="00BE6E6D" w:rsidP="009F5F47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tbl>
            <w:tblPr>
              <w:tblW w:w="8244" w:type="dxa"/>
              <w:tblInd w:w="8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1241"/>
              <w:gridCol w:w="2977"/>
              <w:gridCol w:w="2835"/>
            </w:tblGrid>
            <w:tr w:rsidR="00BE6E6D" w:rsidRPr="004E44EE" w14:paraId="7525B00B" w14:textId="77777777" w:rsidTr="009F5F47">
              <w:trPr>
                <w:trHeight w:val="1305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7A76E33D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ANO PROPOSTA ORÇAMEN</w:t>
                  </w:r>
                  <w:r>
                    <w:rPr>
                      <w:rFonts w:ascii="Calibri" w:hAnsi="Calibri"/>
                      <w:color w:val="000000"/>
                    </w:rPr>
                    <w:t>-</w:t>
                  </w:r>
                  <w:r w:rsidRPr="004E44EE">
                    <w:rPr>
                      <w:rFonts w:ascii="Calibri" w:hAnsi="Calibri"/>
                      <w:color w:val="000000"/>
                    </w:rPr>
                    <w:t>TÁRIA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3DF89991" w14:textId="77777777" w:rsidR="00BE6E6D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Data de atualização/</w:t>
                  </w:r>
                </w:p>
                <w:p w14:paraId="052813A4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inclusão no orçamento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6D862463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 xml:space="preserve">Valor incluído na proposta orçamentária da Justiça Federal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4E2ED171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 xml:space="preserve">Diferença em R$ decorrente da aplicação da variação do IPCA-e em relação à TR de </w:t>
                  </w:r>
                  <w:proofErr w:type="spellStart"/>
                  <w:r w:rsidRPr="004E44EE">
                    <w:rPr>
                      <w:rFonts w:ascii="Calibri" w:hAnsi="Calibri"/>
                      <w:color w:val="000000"/>
                    </w:rPr>
                    <w:t>jul</w:t>
                  </w:r>
                  <w:proofErr w:type="spellEnd"/>
                  <w:r w:rsidRPr="004E44EE">
                    <w:rPr>
                      <w:rFonts w:ascii="Calibri" w:hAnsi="Calibri"/>
                      <w:color w:val="000000"/>
                    </w:rPr>
                    <w:t>/2009 a mar/2018 (54,84%)</w:t>
                  </w:r>
                </w:p>
              </w:tc>
            </w:tr>
            <w:tr w:rsidR="00BE6E6D" w:rsidRPr="004E44EE" w14:paraId="78A86661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8796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2011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16D6B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01/07/2010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F793D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 xml:space="preserve"> R$                  5.469.318.212,46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AEB0E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         2.999.374.107,71 </w:t>
                  </w:r>
                </w:p>
              </w:tc>
            </w:tr>
            <w:tr w:rsidR="00BE6E6D" w:rsidRPr="004E44EE" w14:paraId="300FECF8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C7F76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2012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2C52F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01/07/2011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36487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 xml:space="preserve"> R$                  5.596.479.310,23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A481AF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         3.069.109.253,73 </w:t>
                  </w:r>
                </w:p>
              </w:tc>
            </w:tr>
            <w:tr w:rsidR="00BE6E6D" w:rsidRPr="004E44EE" w14:paraId="4EA0A334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2AA20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2013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58B20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>01/07/2012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7546B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4E44EE">
                    <w:rPr>
                      <w:rFonts w:ascii="Calibri" w:hAnsi="Calibri"/>
                      <w:color w:val="000000"/>
                    </w:rPr>
                    <w:t xml:space="preserve"> R$                11.517.070.588,16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E6835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         6.315.961.510,55 </w:t>
                  </w:r>
                </w:p>
              </w:tc>
            </w:tr>
            <w:tr w:rsidR="00BE6E6D" w:rsidRPr="004E44EE" w14:paraId="3A3D9B16" w14:textId="77777777" w:rsidTr="009F5F47">
              <w:trPr>
                <w:trHeight w:val="595"/>
              </w:trPr>
              <w:tc>
                <w:tcPr>
                  <w:tcW w:w="2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5D9F1"/>
                  <w:noWrap/>
                  <w:vAlign w:val="center"/>
                  <w:hideMark/>
                </w:tcPr>
                <w:p w14:paraId="03A1D597" w14:textId="77777777" w:rsidR="00BE6E6D" w:rsidRPr="004E44EE" w:rsidRDefault="00BE6E6D" w:rsidP="009F5F4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E44EE">
                    <w:rPr>
                      <w:rFonts w:ascii="Calibri" w:hAnsi="Calibri"/>
                      <w:b/>
                      <w:bCs/>
                      <w:color w:val="000000"/>
                    </w:rPr>
                    <w:t>Total Impacto financeiro 2011 a 2013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728BB135" w14:textId="77777777" w:rsidR="00BE6E6D" w:rsidRPr="00272322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272322">
                    <w:rPr>
                      <w:rFonts w:ascii="Calibri" w:hAnsi="Calibri"/>
                      <w:color w:val="000000"/>
                    </w:rPr>
                    <w:t xml:space="preserve">R$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Pr="00272322">
                    <w:rPr>
                      <w:rFonts w:ascii="Calibri" w:hAnsi="Calibri"/>
                      <w:color w:val="000000"/>
                    </w:rPr>
                    <w:t xml:space="preserve">  22.582.868.110,85 </w:t>
                  </w:r>
                </w:p>
                <w:p w14:paraId="741A36A9" w14:textId="77777777" w:rsidR="00BE6E6D" w:rsidRPr="004E44EE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2CAFEDB4" w14:textId="77777777" w:rsidR="00BE6E6D" w:rsidRPr="00272322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272322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  <w:p w14:paraId="743ED30D" w14:textId="77777777" w:rsidR="00BE6E6D" w:rsidRPr="00272322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272322">
                    <w:rPr>
                      <w:rFonts w:ascii="Calibri" w:hAnsi="Calibri"/>
                      <w:color w:val="000000"/>
                    </w:rPr>
                    <w:t xml:space="preserve">R$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</w:t>
                  </w:r>
                  <w:r w:rsidRPr="00272322">
                    <w:rPr>
                      <w:rFonts w:ascii="Calibri" w:hAnsi="Calibri"/>
                      <w:color w:val="000000"/>
                    </w:rPr>
                    <w:t xml:space="preserve">  12.384.444.871,99  </w:t>
                  </w:r>
                </w:p>
                <w:p w14:paraId="29339090" w14:textId="77777777" w:rsidR="00BE6E6D" w:rsidRPr="00272322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68736C5D" w14:textId="3EEB6730" w:rsidR="00BE6E6D" w:rsidRDefault="00BE6E6D" w:rsidP="009F5F47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tbl>
            <w:tblPr>
              <w:tblW w:w="96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1276"/>
              <w:gridCol w:w="2409"/>
              <w:gridCol w:w="1276"/>
              <w:gridCol w:w="992"/>
              <w:gridCol w:w="2552"/>
            </w:tblGrid>
            <w:tr w:rsidR="00BE6E6D" w:rsidRPr="00DE258F" w14:paraId="1FB7DB40" w14:textId="77777777" w:rsidTr="009F5F47">
              <w:trPr>
                <w:trHeight w:val="1312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2F110FAA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ANO PROPOSTA ORÇAMEN-     TÁRIA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3C92CB78" w14:textId="77777777" w:rsidR="00BE6E6D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Data de atualização/</w:t>
                  </w:r>
                </w:p>
                <w:p w14:paraId="669484D8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inclusão no orçamento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6AB952E5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 xml:space="preserve">Valor incluído na proposta orçamentária da Justiça Federal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62AE01C4" w14:textId="77777777" w:rsidR="00BE6E6D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Período diferença</w:t>
                  </w:r>
                </w:p>
                <w:p w14:paraId="4886AF98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 xml:space="preserve"> TR x IPCA-e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720B2991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DE258F">
                    <w:rPr>
                      <w:rFonts w:ascii="Calibri" w:hAnsi="Calibri"/>
                      <w:color w:val="000000"/>
                    </w:rPr>
                    <w:t>Diferen</w:t>
                  </w:r>
                  <w:r>
                    <w:rPr>
                      <w:rFonts w:ascii="Calibri" w:hAnsi="Calibri"/>
                      <w:color w:val="000000"/>
                    </w:rPr>
                    <w:t>-</w:t>
                  </w:r>
                  <w:r w:rsidRPr="00DE258F">
                    <w:rPr>
                      <w:rFonts w:ascii="Calibri" w:hAnsi="Calibri"/>
                      <w:color w:val="000000"/>
                    </w:rPr>
                    <w:t>ça</w:t>
                  </w:r>
                  <w:proofErr w:type="spellEnd"/>
                  <w:r w:rsidRPr="00DE258F">
                    <w:rPr>
                      <w:rFonts w:ascii="Calibri" w:hAnsi="Calibri"/>
                      <w:color w:val="000000"/>
                    </w:rPr>
                    <w:t xml:space="preserve"> TR x IPCA-e (%)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3146873A" w14:textId="77777777" w:rsidR="00BE6E6D" w:rsidRDefault="00BE6E6D" w:rsidP="009F5F47">
                  <w:pPr>
                    <w:ind w:right="210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Diferença em R$ decorrente da aplicação da variação do</w:t>
                  </w:r>
                </w:p>
                <w:p w14:paraId="79BE971B" w14:textId="77777777" w:rsidR="00BE6E6D" w:rsidRPr="00DE258F" w:rsidRDefault="00BE6E6D" w:rsidP="009F5F47">
                  <w:pPr>
                    <w:ind w:right="75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</w:t>
                  </w:r>
                  <w:r w:rsidRPr="00DE258F">
                    <w:rPr>
                      <w:rFonts w:ascii="Calibri" w:hAnsi="Calibri"/>
                      <w:color w:val="000000"/>
                    </w:rPr>
                    <w:t xml:space="preserve">PCA-e em relação à TR </w:t>
                  </w:r>
                </w:p>
              </w:tc>
            </w:tr>
            <w:tr w:rsidR="00BE6E6D" w:rsidRPr="00DE258F" w14:paraId="2B9E2FC6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2E437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2014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F423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01/07/2013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7BAC2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 xml:space="preserve"> R$   11.651.024.574,03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4685D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DE258F">
                    <w:rPr>
                      <w:rFonts w:ascii="Calibri" w:hAnsi="Calibri"/>
                      <w:color w:val="000000"/>
                    </w:rPr>
                    <w:t>jul</w:t>
                  </w:r>
                  <w:proofErr w:type="spellEnd"/>
                  <w:r w:rsidRPr="00DE258F">
                    <w:rPr>
                      <w:rFonts w:ascii="Calibri" w:hAnsi="Calibri"/>
                      <w:color w:val="000000"/>
                    </w:rPr>
                    <w:t>/2009 a dez/2012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480FE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18,39%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55582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2.142.623.419,16 </w:t>
                  </w:r>
                </w:p>
              </w:tc>
            </w:tr>
            <w:tr w:rsidR="00BE6E6D" w:rsidRPr="00DE258F" w14:paraId="6795F5A0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B86B5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BCE67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01/07/2014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A40FA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 xml:space="preserve"> R$   23.812.699.840,93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B7E74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DE258F">
                    <w:rPr>
                      <w:rFonts w:ascii="Calibri" w:hAnsi="Calibri"/>
                      <w:color w:val="000000"/>
                    </w:rPr>
                    <w:t>jul</w:t>
                  </w:r>
                  <w:proofErr w:type="spellEnd"/>
                  <w:r w:rsidRPr="00DE258F">
                    <w:rPr>
                      <w:rFonts w:ascii="Calibri" w:hAnsi="Calibri"/>
                      <w:color w:val="000000"/>
                    </w:rPr>
                    <w:t>/2009 a dez/2013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EF47E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25,07%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866322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5.969.843.850,12 </w:t>
                  </w:r>
                </w:p>
              </w:tc>
            </w:tr>
            <w:tr w:rsidR="00BE6E6D" w:rsidRPr="00DE258F" w14:paraId="407D6608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CF900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97B32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01/04/2015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8134B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 xml:space="preserve"> R$   11.511.919.432,72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8EDD4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DE258F">
                    <w:rPr>
                      <w:rFonts w:ascii="Calibri" w:hAnsi="Calibri"/>
                      <w:color w:val="000000"/>
                    </w:rPr>
                    <w:t>jul</w:t>
                  </w:r>
                  <w:proofErr w:type="spellEnd"/>
                  <w:r w:rsidRPr="00DE258F">
                    <w:rPr>
                      <w:rFonts w:ascii="Calibri" w:hAnsi="Calibri"/>
                      <w:color w:val="000000"/>
                    </w:rPr>
                    <w:t>/2009 a dez/2014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89FBB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32,02%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487E0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3.686.116.602,36 </w:t>
                  </w:r>
                </w:p>
              </w:tc>
            </w:tr>
            <w:tr w:rsidR="00BE6E6D" w:rsidRPr="00DE258F" w14:paraId="70FBF199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00997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CA0AC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01/07/2016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CD6E0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 xml:space="preserve"> R$   13.432.496.172,29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C3AE6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DE258F">
                    <w:rPr>
                      <w:rFonts w:ascii="Calibri" w:hAnsi="Calibri"/>
                      <w:color w:val="000000"/>
                    </w:rPr>
                    <w:t>jul</w:t>
                  </w:r>
                  <w:proofErr w:type="spellEnd"/>
                  <w:r w:rsidRPr="00DE258F">
                    <w:rPr>
                      <w:rFonts w:ascii="Calibri" w:hAnsi="Calibri"/>
                      <w:color w:val="000000"/>
                    </w:rPr>
                    <w:t>/2009 a dez/2015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C5621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43,58%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312241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5.853.881.831,88 </w:t>
                  </w:r>
                </w:p>
              </w:tc>
            </w:tr>
            <w:tr w:rsidR="00BE6E6D" w:rsidRPr="00DE258F" w14:paraId="0333B345" w14:textId="77777777" w:rsidTr="009F5F47">
              <w:trPr>
                <w:trHeight w:val="499"/>
              </w:trPr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0808F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098BC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01/07/2017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03345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 </w:t>
                  </w:r>
                </w:p>
                <w:p w14:paraId="11EBC924" w14:textId="77777777" w:rsidR="00BE6E6D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21.556.186.330,45 </w:t>
                  </w:r>
                </w:p>
                <w:p w14:paraId="1D903336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95CE2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DE258F">
                    <w:rPr>
                      <w:rFonts w:ascii="Calibri" w:hAnsi="Calibri"/>
                      <w:color w:val="000000"/>
                    </w:rPr>
                    <w:t>jul</w:t>
                  </w:r>
                  <w:proofErr w:type="spellEnd"/>
                  <w:r w:rsidRPr="00DE258F">
                    <w:rPr>
                      <w:rFonts w:ascii="Calibri" w:hAnsi="Calibri"/>
                      <w:color w:val="000000"/>
                    </w:rPr>
                    <w:t>/2009 a dez/2016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D21C5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50,01%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549F9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10.780.248.783,86 </w:t>
                  </w:r>
                </w:p>
              </w:tc>
            </w:tr>
            <w:tr w:rsidR="00BE6E6D" w:rsidRPr="00DE258F" w14:paraId="604B73BB" w14:textId="77777777" w:rsidTr="009F5F47">
              <w:trPr>
                <w:trHeight w:val="681"/>
              </w:trPr>
              <w:tc>
                <w:tcPr>
                  <w:tcW w:w="2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5D9F1"/>
                  <w:noWrap/>
                  <w:vAlign w:val="center"/>
                  <w:hideMark/>
                </w:tcPr>
                <w:p w14:paraId="7171216D" w14:textId="77777777" w:rsidR="00BE6E6D" w:rsidRPr="00DE258F" w:rsidRDefault="00BE6E6D" w:rsidP="009F5F4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DE258F">
                    <w:rPr>
                      <w:rFonts w:ascii="Calibri" w:hAnsi="Calibri"/>
                      <w:b/>
                      <w:bCs/>
                      <w:color w:val="000000"/>
                    </w:rPr>
                    <w:t>Total Impacto financeiro 2014 a 2018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1C1C37C1" w14:textId="77777777" w:rsidR="00BE6E6D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193B9EA" w14:textId="77777777" w:rsidR="00BE6E6D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  81.964.326.350,42 </w:t>
                  </w:r>
                </w:p>
                <w:p w14:paraId="1B4FEE79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647C4EBB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FE538CF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 w:rsidRPr="00DE258F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</w:tcPr>
                <w:p w14:paraId="67C12953" w14:textId="77777777" w:rsidR="00BE6E6D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R$   28.432.714.487,38 </w:t>
                  </w:r>
                </w:p>
                <w:p w14:paraId="785B43F8" w14:textId="77777777" w:rsidR="00BE6E6D" w:rsidRPr="00DE258F" w:rsidRDefault="00BE6E6D" w:rsidP="009F5F4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49A3C9D7" w14:textId="77777777" w:rsidR="00BE6E6D" w:rsidRPr="006B2E00" w:rsidRDefault="00BE6E6D" w:rsidP="009F5F47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BE6E6D" w:rsidRPr="006B2E00" w14:paraId="655ECC5C" w14:textId="77777777" w:rsidTr="009F5F47">
        <w:trPr>
          <w:gridAfter w:val="1"/>
          <w:wAfter w:w="160" w:type="dxa"/>
          <w:trHeight w:val="458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6412A" w14:textId="77777777" w:rsidR="00BE6E6D" w:rsidRPr="006B2E00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E6E6D" w:rsidRPr="006B2E00" w14:paraId="50173021" w14:textId="77777777" w:rsidTr="009F5F47">
        <w:trPr>
          <w:trHeight w:val="300"/>
        </w:trPr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2D90A" w14:textId="77777777" w:rsidR="00BE6E6D" w:rsidRDefault="00BE6E6D" w:rsidP="009F5F47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431C79DE" w14:textId="77777777" w:rsidR="00BE6E6D" w:rsidRPr="006B2E00" w:rsidRDefault="00BE6E6D" w:rsidP="009F5F47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212A" w14:textId="77777777" w:rsidR="00BE6E6D" w:rsidRPr="006B2E00" w:rsidRDefault="00BE6E6D" w:rsidP="009F5F47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0C71" w14:textId="77777777" w:rsidR="00BE6E6D" w:rsidRPr="006B2E00" w:rsidRDefault="00BE6E6D" w:rsidP="009F5F47"/>
        </w:tc>
      </w:tr>
      <w:tr w:rsidR="00BE6E6D" w:rsidRPr="008B7154" w14:paraId="23CF5A31" w14:textId="77777777" w:rsidTr="009F5F47">
        <w:trPr>
          <w:gridBefore w:val="1"/>
          <w:gridAfter w:val="2"/>
          <w:wBefore w:w="431" w:type="dxa"/>
          <w:wAfter w:w="1479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E3D1A" w14:textId="77777777" w:rsidR="00BE6E6D" w:rsidRPr="008B7154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 w:rsidRPr="008B7154">
              <w:rPr>
                <w:rFonts w:ascii="Calibri" w:hAnsi="Calibri"/>
                <w:b/>
                <w:bCs/>
                <w:color w:val="000000"/>
              </w:rPr>
              <w:t>TOTAL IMPACTO 2011 a 2013 UNIÃO/INSS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E37D" w14:textId="77777777" w:rsidR="00BE6E6D" w:rsidRPr="008B7154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14:paraId="02161279" w14:textId="77777777" w:rsidR="00BE6E6D" w:rsidRPr="00272322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 w:rsidRPr="00272322">
              <w:rPr>
                <w:rFonts w:ascii="Calibri" w:hAnsi="Calibri"/>
                <w:b/>
                <w:bCs/>
                <w:color w:val="000000"/>
              </w:rPr>
              <w:t xml:space="preserve">R$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          </w:t>
            </w:r>
            <w:r w:rsidRPr="00272322">
              <w:rPr>
                <w:rFonts w:ascii="Calibri" w:hAnsi="Calibri"/>
                <w:b/>
                <w:bCs/>
                <w:color w:val="000000"/>
              </w:rPr>
              <w:t xml:space="preserve">  12.384.444.871,99  </w:t>
            </w:r>
          </w:p>
        </w:tc>
      </w:tr>
      <w:tr w:rsidR="00BE6E6D" w:rsidRPr="008B7154" w14:paraId="04DA5AE0" w14:textId="77777777" w:rsidTr="009F5F47">
        <w:trPr>
          <w:gridBefore w:val="1"/>
          <w:gridAfter w:val="2"/>
          <w:wBefore w:w="431" w:type="dxa"/>
          <w:wAfter w:w="1479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3C00D" w14:textId="77777777" w:rsidR="00BE6E6D" w:rsidRPr="008B7154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 w:rsidRPr="008B7154">
              <w:rPr>
                <w:rFonts w:ascii="Calibri" w:hAnsi="Calibri"/>
                <w:b/>
                <w:bCs/>
                <w:color w:val="000000"/>
              </w:rPr>
              <w:t>TOTAL IMPACTO UNIÃO/INSS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0AF" w14:textId="77777777" w:rsidR="00BE6E6D" w:rsidRPr="008B7154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R$                28.432.714.487,38 </w:t>
            </w:r>
            <w:r w:rsidRPr="008B71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BE6E6D" w:rsidRPr="008B7154" w14:paraId="7C7E458D" w14:textId="77777777" w:rsidTr="009F5F47">
        <w:trPr>
          <w:gridBefore w:val="1"/>
          <w:gridAfter w:val="2"/>
          <w:wBefore w:w="431" w:type="dxa"/>
          <w:wAfter w:w="1479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7DCF9EC" w14:textId="77777777" w:rsidR="00BE6E6D" w:rsidRPr="008B7154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 w:rsidRPr="008B7154">
              <w:rPr>
                <w:rFonts w:ascii="Calibri" w:hAnsi="Calibri"/>
                <w:b/>
                <w:bCs/>
                <w:color w:val="000000"/>
              </w:rPr>
              <w:t>TOTAL IMPACTO UNIÃO E INSS 2011 a 2018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6CB592" w14:textId="77777777" w:rsidR="00BE6E6D" w:rsidRPr="008B7154" w:rsidRDefault="00BE6E6D" w:rsidP="009F5F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R$                 40.817.159.359,37</w:t>
            </w:r>
          </w:p>
        </w:tc>
      </w:tr>
    </w:tbl>
    <w:p w14:paraId="74417220" w14:textId="4E80C83E" w:rsidR="00BE6E6D" w:rsidRPr="00BE6E6D" w:rsidRDefault="00BE6E6D" w:rsidP="00BE6E6D">
      <w:pPr>
        <w:pStyle w:val="Corpodetexto"/>
        <w:widowControl w:val="0"/>
        <w:tabs>
          <w:tab w:val="left" w:pos="1276"/>
        </w:tabs>
        <w:autoSpaceDE w:val="0"/>
        <w:autoSpaceDN w:val="0"/>
        <w:spacing w:after="240"/>
        <w:ind w:firstLine="1276"/>
        <w:rPr>
          <w:szCs w:val="28"/>
        </w:rPr>
      </w:pPr>
      <w:r w:rsidRPr="00BE6E6D">
        <w:rPr>
          <w:szCs w:val="28"/>
        </w:rPr>
        <w:lastRenderedPageBreak/>
        <w:t xml:space="preserve">De ressaltar que, além da controvérsia objeto do RE 870.947, com repercussão geral, </w:t>
      </w:r>
      <w:r w:rsidRPr="00BE6E6D">
        <w:rPr>
          <w:b/>
          <w:szCs w:val="28"/>
        </w:rPr>
        <w:t>também tramitam, perante essa Suprema Corte, as Ações Diretas de Inconstitucionalidade nº 5.867 e 6.021</w:t>
      </w:r>
      <w:r w:rsidRPr="00BE6E6D">
        <w:rPr>
          <w:szCs w:val="28"/>
        </w:rPr>
        <w:t xml:space="preserve">, com pedido de medida cautelar, propostas pela Associação Nacional dos Magistrados da Justiça do Trabalho — ANAMATRA. </w:t>
      </w:r>
      <w:r w:rsidRPr="00BE6E6D">
        <w:rPr>
          <w:b/>
          <w:szCs w:val="28"/>
        </w:rPr>
        <w:t>Elas têm por objeto as expressões "</w:t>
      </w:r>
      <w:r w:rsidRPr="00BE6E6D">
        <w:rPr>
          <w:b/>
          <w:i/>
          <w:szCs w:val="28"/>
        </w:rPr>
        <w:t>com os mesmos índices de poupança</w:t>
      </w:r>
      <w:r w:rsidRPr="00BE6E6D">
        <w:rPr>
          <w:b/>
          <w:szCs w:val="28"/>
        </w:rPr>
        <w:t>", contida no artigo 899, § 4°, da Consolidação das Leis do Trabalho – CLT (ADI 5867) e “</w:t>
      </w:r>
      <w:r w:rsidRPr="00BE6E6D">
        <w:rPr>
          <w:b/>
          <w:i/>
          <w:szCs w:val="28"/>
        </w:rPr>
        <w:t>pela Taxa Referencial (TR) divulgada pelo Banco Central do Brasil</w:t>
      </w:r>
      <w:r w:rsidRPr="00BE6E6D">
        <w:rPr>
          <w:b/>
          <w:szCs w:val="28"/>
        </w:rPr>
        <w:t>”, contida no artigo 879, § 7º, também da CLT (ADI 6021), ambas incluídas pela Lei 13.467/17 (Reforma Trabalhista)</w:t>
      </w:r>
      <w:r w:rsidRPr="00BE6E6D">
        <w:rPr>
          <w:szCs w:val="28"/>
        </w:rPr>
        <w:t xml:space="preserve">, bem como, por arrastamento, o artigo 39, </w:t>
      </w:r>
      <w:r w:rsidRPr="00BE6E6D">
        <w:rPr>
          <w:i/>
          <w:szCs w:val="28"/>
        </w:rPr>
        <w:t>caput</w:t>
      </w:r>
      <w:r w:rsidRPr="00BE6E6D">
        <w:rPr>
          <w:szCs w:val="28"/>
        </w:rPr>
        <w:t xml:space="preserve">, da Lei 8.177/91. Em face dos mesmos dispositivos, incluindo, ainda, o § 1º do art. 39 da Lei 8.177/91, foram propostas as Ações Declaratórias de Constitucionalidade nº 58 e 59, com pedido de medida cautelar. Todas sob a relatoria do </w:t>
      </w:r>
      <w:r w:rsidRPr="001E498B">
        <w:rPr>
          <w:smallCaps/>
          <w:szCs w:val="28"/>
        </w:rPr>
        <w:t>Ministro Gilmar Mendes</w:t>
      </w:r>
      <w:r w:rsidRPr="00BE6E6D">
        <w:rPr>
          <w:szCs w:val="28"/>
        </w:rPr>
        <w:t xml:space="preserve">. </w:t>
      </w:r>
    </w:p>
    <w:p w14:paraId="0DC419E2" w14:textId="747BD6F1" w:rsidR="00BE6E6D" w:rsidRDefault="00BE6E6D" w:rsidP="00BE6E6D">
      <w:pPr>
        <w:pStyle w:val="Corpodetexto"/>
        <w:widowControl w:val="0"/>
        <w:tabs>
          <w:tab w:val="left" w:pos="1276"/>
        </w:tabs>
        <w:autoSpaceDE w:val="0"/>
        <w:autoSpaceDN w:val="0"/>
        <w:spacing w:after="240"/>
        <w:ind w:firstLine="1276"/>
        <w:rPr>
          <w:szCs w:val="28"/>
        </w:rPr>
      </w:pPr>
      <w:r w:rsidRPr="00BE6E6D">
        <w:rPr>
          <w:szCs w:val="28"/>
        </w:rPr>
        <w:t xml:space="preserve">Sustenta-se, nas </w:t>
      </w:r>
      <w:r w:rsidR="00440B48">
        <w:rPr>
          <w:szCs w:val="28"/>
        </w:rPr>
        <w:t>ações diretas</w:t>
      </w:r>
      <w:r w:rsidRPr="00BE6E6D">
        <w:rPr>
          <w:szCs w:val="28"/>
        </w:rPr>
        <w:t>, que a Taxa Referencial, índice adotado pelas normas impugnadas para atualização de depósitos recursais e de créditos trabalhistas reconhecidos em decisão judicial proferida no âmbito da Justiça do Trabalho, não seria capaz de assegurar a manutenção do poder aquisitivo da moeda e de remunerar adequadamente os respectivos montantes, o que implicaria violação ao direito de propriedade das partes.</w:t>
      </w:r>
      <w:r w:rsidR="00C35E98">
        <w:rPr>
          <w:szCs w:val="28"/>
        </w:rPr>
        <w:t xml:space="preserve"> Trata-se, </w:t>
      </w:r>
      <w:r w:rsidR="00C35E98">
        <w:t>portanto, da mesma premissa argumentativa que levou à declaração de inconsti</w:t>
      </w:r>
      <w:r w:rsidR="00885AAB">
        <w:t xml:space="preserve">tucionalidade no RE 870.947 e </w:t>
      </w:r>
      <w:r w:rsidR="00C35E98">
        <w:t xml:space="preserve">nas </w:t>
      </w:r>
      <w:proofErr w:type="spellStart"/>
      <w:r w:rsidR="00C35E98">
        <w:t>ADIs</w:t>
      </w:r>
      <w:proofErr w:type="spellEnd"/>
      <w:r w:rsidR="00C35E98">
        <w:t xml:space="preserve"> 4357 e 4425.</w:t>
      </w:r>
    </w:p>
    <w:p w14:paraId="3721A814" w14:textId="4C9C5D1D" w:rsidR="00BE6E6D" w:rsidRDefault="00BE6E6D" w:rsidP="00BE6E6D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276"/>
        <w:rPr>
          <w:sz w:val="28"/>
          <w:szCs w:val="28"/>
        </w:rPr>
      </w:pPr>
      <w:r w:rsidRPr="00BE6E6D">
        <w:rPr>
          <w:sz w:val="28"/>
          <w:szCs w:val="28"/>
        </w:rPr>
        <w:t xml:space="preserve">Assim, igualmente no intuito de trazer o possível impacto aos cofres públicos federais decorrente do reconhecimento da inconstitucionalidade da TR como índice de atualização monetária nas condenações judiciais da Fazenda Pública no âmbito da Justiça do Trabalho, </w:t>
      </w:r>
      <w:r w:rsidRPr="00BE6E6D">
        <w:rPr>
          <w:b/>
          <w:sz w:val="28"/>
          <w:szCs w:val="28"/>
        </w:rPr>
        <w:t xml:space="preserve">apresentam-se os dados apurados, como estimativa, no Parecer Técnico nº 1465-I/2019-DCP/PGU/AG (em anexo), </w:t>
      </w:r>
      <w:r w:rsidRPr="00BE6E6D">
        <w:rPr>
          <w:b/>
          <w:sz w:val="28"/>
          <w:szCs w:val="28"/>
          <w:u w:val="single"/>
        </w:rPr>
        <w:t>somente para os precatórios trabalhistas incluídos na proposta orçamentária de 2019</w:t>
      </w:r>
      <w:r w:rsidRPr="00BE6E6D">
        <w:rPr>
          <w:sz w:val="28"/>
          <w:szCs w:val="28"/>
        </w:rPr>
        <w:t>:</w:t>
      </w:r>
    </w:p>
    <w:p w14:paraId="25ACF8FA" w14:textId="40C98B60" w:rsidR="00440B48" w:rsidRPr="00BE6E6D" w:rsidRDefault="00440B48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F4BEDD" wp14:editId="5DF6DB3C">
            <wp:extent cx="5760085" cy="1770052"/>
            <wp:effectExtent l="0" t="0" r="0" b="1905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5B567" w14:textId="63F915AB" w:rsidR="00440B48" w:rsidRDefault="00440B48" w:rsidP="00440B48">
      <w:pPr>
        <w:pStyle w:val="Corpodetexto"/>
        <w:widowControl w:val="0"/>
        <w:tabs>
          <w:tab w:val="left" w:pos="1276"/>
        </w:tabs>
        <w:autoSpaceDE w:val="0"/>
        <w:autoSpaceDN w:val="0"/>
        <w:spacing w:after="240"/>
        <w:ind w:firstLine="1418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Procedeu-se, ainda, à simulação comparativa, considerando diversos indexadores de correção monetária:</w:t>
      </w:r>
    </w:p>
    <w:p w14:paraId="65C13B2D" w14:textId="49AF4471" w:rsidR="00440B48" w:rsidRPr="00337E84" w:rsidRDefault="00440B48" w:rsidP="00440B48">
      <w:pPr>
        <w:pStyle w:val="Corpodetexto"/>
        <w:widowControl w:val="0"/>
        <w:tabs>
          <w:tab w:val="left" w:pos="1276"/>
        </w:tabs>
        <w:autoSpaceDE w:val="0"/>
        <w:autoSpaceDN w:val="0"/>
        <w:spacing w:after="240"/>
      </w:pPr>
      <w:r>
        <w:rPr>
          <w:noProof/>
        </w:rPr>
        <w:drawing>
          <wp:inline distT="0" distB="0" distL="0" distR="0" wp14:anchorId="63E18E6C" wp14:editId="622FDD2F">
            <wp:extent cx="5760085" cy="2519543"/>
            <wp:effectExtent l="0" t="0" r="0" b="0"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1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83CB3" w14:textId="36C8B9D6" w:rsidR="00440B48" w:rsidRPr="001E498B" w:rsidRDefault="00440B48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2" w:firstLine="1418"/>
        <w:rPr>
          <w:sz w:val="28"/>
          <w:szCs w:val="28"/>
        </w:rPr>
      </w:pPr>
      <w:r w:rsidRPr="001E498B">
        <w:rPr>
          <w:sz w:val="28"/>
          <w:szCs w:val="28"/>
        </w:rPr>
        <w:t>Portanto, não pode ser desconsiderado</w:t>
      </w:r>
      <w:r w:rsidRPr="001E498B">
        <w:rPr>
          <w:position w:val="9"/>
          <w:sz w:val="28"/>
          <w:szCs w:val="28"/>
        </w:rPr>
        <w:t xml:space="preserve"> </w:t>
      </w:r>
      <w:r w:rsidRPr="001E498B">
        <w:rPr>
          <w:sz w:val="28"/>
          <w:szCs w:val="28"/>
        </w:rPr>
        <w:t>que o impacto financeiro aos cofres públicos, decorrente da alteração da jurisprudência quanto à inconstitucionalidade e consequente não aplicabilidade do artigo 1º-F da Lei 9.494/97, desde a sua origem, há quase 10 anos, seria gigantesco e extremamente danoso ao interesse público e social.</w:t>
      </w:r>
    </w:p>
    <w:p w14:paraId="435D635D" w14:textId="7F454F24" w:rsidR="00440B48" w:rsidRPr="001E498B" w:rsidRDefault="00440B48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2" w:firstLine="1418"/>
        <w:rPr>
          <w:sz w:val="28"/>
          <w:szCs w:val="28"/>
        </w:rPr>
      </w:pPr>
      <w:r w:rsidRPr="001E498B">
        <w:rPr>
          <w:sz w:val="28"/>
          <w:szCs w:val="28"/>
        </w:rPr>
        <w:t xml:space="preserve">Considerando, ainda, a necessidade de prestígio à </w:t>
      </w:r>
      <w:r w:rsidRPr="001E498B">
        <w:rPr>
          <w:b/>
          <w:bCs/>
          <w:sz w:val="28"/>
          <w:szCs w:val="28"/>
        </w:rPr>
        <w:t>segurança jurídica</w:t>
      </w:r>
      <w:r w:rsidRPr="001E498B">
        <w:rPr>
          <w:sz w:val="28"/>
          <w:szCs w:val="28"/>
        </w:rPr>
        <w:t xml:space="preserve">, à </w:t>
      </w:r>
      <w:r w:rsidRPr="001E498B">
        <w:rPr>
          <w:b/>
          <w:bCs/>
          <w:sz w:val="28"/>
          <w:szCs w:val="28"/>
        </w:rPr>
        <w:t>proteção da confiança</w:t>
      </w:r>
      <w:r w:rsidRPr="001E498B">
        <w:rPr>
          <w:sz w:val="28"/>
          <w:szCs w:val="28"/>
        </w:rPr>
        <w:t xml:space="preserve"> e à </w:t>
      </w:r>
      <w:r w:rsidRPr="001E498B">
        <w:rPr>
          <w:b/>
          <w:bCs/>
          <w:sz w:val="28"/>
          <w:szCs w:val="28"/>
        </w:rPr>
        <w:t>coerência do sistema jurídico</w:t>
      </w:r>
      <w:r w:rsidR="001E498B">
        <w:rPr>
          <w:sz w:val="28"/>
          <w:szCs w:val="28"/>
        </w:rPr>
        <w:t>, entende-se</w:t>
      </w:r>
      <w:r w:rsidRPr="001E498B">
        <w:rPr>
          <w:sz w:val="28"/>
          <w:szCs w:val="28"/>
        </w:rPr>
        <w:t xml:space="preserve"> que a modulação temporal é medida que se impõe ao caso em</w:t>
      </w:r>
      <w:r w:rsidRPr="001E498B">
        <w:rPr>
          <w:spacing w:val="-4"/>
          <w:sz w:val="28"/>
          <w:szCs w:val="28"/>
        </w:rPr>
        <w:t xml:space="preserve"> </w:t>
      </w:r>
      <w:r w:rsidRPr="001E498B">
        <w:rPr>
          <w:sz w:val="28"/>
          <w:szCs w:val="28"/>
        </w:rPr>
        <w:t>tela.</w:t>
      </w:r>
    </w:p>
    <w:p w14:paraId="70B9B36F" w14:textId="70B9BF8C" w:rsidR="00440B48" w:rsidRPr="001E498B" w:rsidRDefault="001E498B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2" w:firstLine="1418"/>
        <w:rPr>
          <w:sz w:val="28"/>
          <w:szCs w:val="28"/>
        </w:rPr>
      </w:pPr>
      <w:r>
        <w:rPr>
          <w:sz w:val="28"/>
          <w:szCs w:val="28"/>
        </w:rPr>
        <w:t xml:space="preserve">Reforça ainda a necessidade de </w:t>
      </w:r>
      <w:r w:rsidR="00440B48" w:rsidRPr="001E498B">
        <w:rPr>
          <w:sz w:val="28"/>
          <w:szCs w:val="28"/>
        </w:rPr>
        <w:t xml:space="preserve">coerência tanto em relação ao ordenamento pátrio quanto à própria jurisprudência deste Excelso Pretório, tendo </w:t>
      </w:r>
      <w:r w:rsidR="00440B48" w:rsidRPr="001E498B">
        <w:rPr>
          <w:sz w:val="28"/>
          <w:szCs w:val="28"/>
        </w:rPr>
        <w:lastRenderedPageBreak/>
        <w:t>em vista que</w:t>
      </w:r>
      <w:r>
        <w:rPr>
          <w:sz w:val="28"/>
          <w:szCs w:val="28"/>
        </w:rPr>
        <w:t>,</w:t>
      </w:r>
      <w:r w:rsidR="00440B48" w:rsidRPr="001E498B">
        <w:rPr>
          <w:sz w:val="28"/>
          <w:szCs w:val="28"/>
        </w:rPr>
        <w:t xml:space="preserve"> </w:t>
      </w:r>
      <w:r w:rsidR="00440B48" w:rsidRPr="001E498B">
        <w:rPr>
          <w:b/>
          <w:sz w:val="28"/>
          <w:szCs w:val="28"/>
        </w:rPr>
        <w:t xml:space="preserve">ao julgar questão de ordem nas </w:t>
      </w:r>
      <w:proofErr w:type="spellStart"/>
      <w:r w:rsidR="00440B48" w:rsidRPr="001E498B">
        <w:rPr>
          <w:b/>
          <w:sz w:val="28"/>
          <w:szCs w:val="28"/>
        </w:rPr>
        <w:t>ADIs</w:t>
      </w:r>
      <w:proofErr w:type="spellEnd"/>
      <w:r w:rsidR="00440B48" w:rsidRPr="001E498B">
        <w:rPr>
          <w:b/>
          <w:sz w:val="28"/>
          <w:szCs w:val="28"/>
        </w:rPr>
        <w:t xml:space="preserve"> 4.425 e 4.357, procedeu-se à modulação dos efeitos da declaração de inconstitucionalidade do mesmo dispositivo legal referente à correção monetária na sistemática dos</w:t>
      </w:r>
      <w:r w:rsidR="00440B48" w:rsidRPr="001E498B">
        <w:rPr>
          <w:b/>
          <w:spacing w:val="-1"/>
          <w:sz w:val="28"/>
          <w:szCs w:val="28"/>
        </w:rPr>
        <w:t xml:space="preserve"> </w:t>
      </w:r>
      <w:r w:rsidR="00440B48" w:rsidRPr="001E498B">
        <w:rPr>
          <w:b/>
          <w:sz w:val="28"/>
          <w:szCs w:val="28"/>
        </w:rPr>
        <w:t>precatórios</w:t>
      </w:r>
      <w:r w:rsidR="00440B48" w:rsidRPr="001E498B">
        <w:rPr>
          <w:sz w:val="28"/>
          <w:szCs w:val="28"/>
        </w:rPr>
        <w:t xml:space="preserve">. Quanto ao ponto, é mister ressaltar que o próprio acórdão embargado </w:t>
      </w:r>
      <w:r>
        <w:rPr>
          <w:sz w:val="28"/>
          <w:szCs w:val="28"/>
        </w:rPr>
        <w:t>deixou clara</w:t>
      </w:r>
      <w:r w:rsidR="00440B48" w:rsidRPr="001E498B">
        <w:rPr>
          <w:sz w:val="28"/>
          <w:szCs w:val="28"/>
        </w:rPr>
        <w:t xml:space="preserve"> a necessidade de se </w:t>
      </w:r>
      <w:r w:rsidR="00440B48" w:rsidRPr="001E498B">
        <w:rPr>
          <w:b/>
          <w:sz w:val="28"/>
          <w:szCs w:val="28"/>
        </w:rPr>
        <w:t xml:space="preserve">manter a coerência e uniformidade com o que já foi decidido pelo STF nas </w:t>
      </w:r>
      <w:proofErr w:type="gramStart"/>
      <w:r w:rsidR="00440B48" w:rsidRPr="001E498B">
        <w:rPr>
          <w:b/>
          <w:sz w:val="28"/>
          <w:szCs w:val="28"/>
        </w:rPr>
        <w:t xml:space="preserve">citadas </w:t>
      </w:r>
      <w:proofErr w:type="spellStart"/>
      <w:r w:rsidR="00440B48" w:rsidRPr="001E498B">
        <w:rPr>
          <w:b/>
          <w:sz w:val="28"/>
          <w:szCs w:val="28"/>
        </w:rPr>
        <w:t>ADIs</w:t>
      </w:r>
      <w:proofErr w:type="spellEnd"/>
      <w:proofErr w:type="gramEnd"/>
      <w:r w:rsidR="00440B48" w:rsidRPr="001E498B">
        <w:rPr>
          <w:sz w:val="28"/>
          <w:szCs w:val="28"/>
        </w:rPr>
        <w:t xml:space="preserve">. Confira-se o seguinte trecho do voto proferido pelo </w:t>
      </w:r>
      <w:r w:rsidR="00440B48" w:rsidRPr="001E498B">
        <w:rPr>
          <w:smallCaps/>
          <w:sz w:val="28"/>
          <w:szCs w:val="28"/>
        </w:rPr>
        <w:t xml:space="preserve">Ministro Relator Luiz </w:t>
      </w:r>
      <w:proofErr w:type="spellStart"/>
      <w:r w:rsidR="00440B48" w:rsidRPr="001E498B">
        <w:rPr>
          <w:smallCaps/>
          <w:sz w:val="28"/>
          <w:szCs w:val="28"/>
        </w:rPr>
        <w:t>Fux</w:t>
      </w:r>
      <w:proofErr w:type="spellEnd"/>
      <w:r w:rsidR="00440B48" w:rsidRPr="001E498B">
        <w:rPr>
          <w:sz w:val="28"/>
          <w:szCs w:val="28"/>
        </w:rPr>
        <w:t>,</w:t>
      </w:r>
      <w:r w:rsidR="00440B48" w:rsidRPr="001E498B">
        <w:rPr>
          <w:spacing w:val="-5"/>
          <w:sz w:val="28"/>
          <w:szCs w:val="28"/>
        </w:rPr>
        <w:t xml:space="preserve"> </w:t>
      </w:r>
      <w:proofErr w:type="spellStart"/>
      <w:r w:rsidR="00440B48" w:rsidRPr="001E498B">
        <w:rPr>
          <w:i/>
          <w:sz w:val="28"/>
          <w:szCs w:val="28"/>
        </w:rPr>
        <w:t>verbis</w:t>
      </w:r>
      <w:proofErr w:type="spellEnd"/>
      <w:r w:rsidR="00440B48" w:rsidRPr="001E498B">
        <w:rPr>
          <w:i/>
          <w:sz w:val="28"/>
          <w:szCs w:val="28"/>
        </w:rPr>
        <w:t>:</w:t>
      </w:r>
    </w:p>
    <w:p w14:paraId="1F30735D" w14:textId="4C76496C" w:rsidR="00440B48" w:rsidRPr="00440B48" w:rsidRDefault="00440B48" w:rsidP="001E498B">
      <w:pPr>
        <w:spacing w:after="480"/>
        <w:ind w:left="2268" w:right="102"/>
        <w:rPr>
          <w:iCs/>
        </w:rPr>
      </w:pPr>
      <w:r w:rsidRPr="00440B48">
        <w:rPr>
          <w:iCs/>
        </w:rPr>
        <w:t xml:space="preserve">A fim de evitar qualquer lacuna sobre o tema e com o propósito de guardar </w:t>
      </w:r>
      <w:r w:rsidRPr="00440B48">
        <w:rPr>
          <w:b/>
          <w:iCs/>
        </w:rPr>
        <w:t xml:space="preserve">coerência e uniformidade </w:t>
      </w:r>
      <w:r w:rsidRPr="00440B48">
        <w:rPr>
          <w:iCs/>
        </w:rPr>
        <w:t xml:space="preserve">com o que decidido pelo Supremo Tribunal Federal ao julgar a questão de ordem nas </w:t>
      </w:r>
      <w:proofErr w:type="spellStart"/>
      <w:r w:rsidRPr="00440B48">
        <w:rPr>
          <w:iCs/>
        </w:rPr>
        <w:t>ADIs</w:t>
      </w:r>
      <w:proofErr w:type="spellEnd"/>
      <w:r w:rsidRPr="00440B48">
        <w:rPr>
          <w:iCs/>
        </w:rPr>
        <w:t xml:space="preserve"> nº 4.357 e 4.425, </w:t>
      </w:r>
      <w:r w:rsidRPr="00440B48">
        <w:rPr>
          <w:b/>
          <w:iCs/>
        </w:rPr>
        <w:t xml:space="preserve">entendo que devam ser idênticos os critérios para a correção monetária de precatórios e de condenações judiciais da Fazenda Pública. </w:t>
      </w:r>
      <w:r w:rsidRPr="00440B48">
        <w:rPr>
          <w:b/>
          <w:iCs/>
          <w:u w:val="single"/>
        </w:rPr>
        <w:t>Naquela oportunidade, a Corte assentou que, após 25.03.2015</w:t>
      </w:r>
      <w:r w:rsidRPr="00440B48">
        <w:rPr>
          <w:b/>
          <w:iCs/>
        </w:rPr>
        <w:t xml:space="preserve">, </w:t>
      </w:r>
      <w:r w:rsidRPr="00440B48">
        <w:rPr>
          <w:iCs/>
        </w:rPr>
        <w:t xml:space="preserve">todos os créditos inscritos em precatórios deverão ser corrigidos pelo Índice de Preços ao Consumidor Amplo Especial (IPCA-E). Nesse exato sentido, voto pela aplicação do aludido índice a todas as condenações judiciais impostas à Fazenda Pública, qualquer que seja o ente federativo de que se </w:t>
      </w:r>
      <w:proofErr w:type="gramStart"/>
      <w:r w:rsidRPr="00440B48">
        <w:rPr>
          <w:iCs/>
        </w:rPr>
        <w:t>cuide.”</w:t>
      </w:r>
      <w:proofErr w:type="gramEnd"/>
      <w:r w:rsidRPr="00440B48">
        <w:rPr>
          <w:iCs/>
        </w:rPr>
        <w:t xml:space="preserve"> (</w:t>
      </w:r>
      <w:proofErr w:type="gramStart"/>
      <w:r w:rsidRPr="00440B48">
        <w:rPr>
          <w:iCs/>
        </w:rPr>
        <w:t>parte</w:t>
      </w:r>
      <w:proofErr w:type="gramEnd"/>
      <w:r w:rsidRPr="00440B48">
        <w:rPr>
          <w:iCs/>
        </w:rPr>
        <w:t xml:space="preserve"> dispositiva – pp. 46/47 do acórdão)</w:t>
      </w:r>
    </w:p>
    <w:p w14:paraId="11901606" w14:textId="77777777" w:rsidR="00440B48" w:rsidRPr="001E498B" w:rsidRDefault="00440B48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6" w:firstLine="1418"/>
        <w:rPr>
          <w:sz w:val="28"/>
          <w:szCs w:val="28"/>
        </w:rPr>
      </w:pPr>
      <w:r w:rsidRPr="001E498B">
        <w:rPr>
          <w:sz w:val="28"/>
          <w:szCs w:val="28"/>
        </w:rPr>
        <w:t>De fato, a dimensão do que se está a discutir não é apenas financeira. Ela guarda impactos que vulneram a própria segurança jurídica. A ausência da modulação ocasionará a necessidade de revisão de milhões de cálculos elaborados em processos em curso e em execuções/cumprimento de títulos executivos judiciais proferidos em desfavor da Fazenda Pública, inclusive possíveis processos com RPV/precatórios já expedidos e ainda não</w:t>
      </w:r>
      <w:r w:rsidRPr="001E498B">
        <w:rPr>
          <w:spacing w:val="-13"/>
          <w:sz w:val="28"/>
          <w:szCs w:val="28"/>
        </w:rPr>
        <w:t xml:space="preserve"> </w:t>
      </w:r>
      <w:r w:rsidRPr="001E498B">
        <w:rPr>
          <w:sz w:val="28"/>
          <w:szCs w:val="28"/>
        </w:rPr>
        <w:t>pagos.</w:t>
      </w:r>
    </w:p>
    <w:p w14:paraId="5FA98EBD" w14:textId="4A55F583" w:rsidR="00440B48" w:rsidRDefault="00440B48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  <w:r w:rsidRPr="001E498B">
        <w:rPr>
          <w:sz w:val="28"/>
          <w:szCs w:val="28"/>
        </w:rPr>
        <w:t xml:space="preserve">Por tais razões, entende-se fundamental manter a coerência do sistema jurídico brasileiro, o que não se observará caso o e. STF deixe de modular dos efeitos da declaração de inconstitucionalidade do artigo 1º-F da Lei 9.494/97. </w:t>
      </w:r>
    </w:p>
    <w:p w14:paraId="5EB87191" w14:textId="1D3E24EC" w:rsidR="00ED0DAC" w:rsidRDefault="00ED0DAC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</w:p>
    <w:p w14:paraId="741B2116" w14:textId="77777777" w:rsidR="00ED0DAC" w:rsidRPr="001E498B" w:rsidRDefault="00ED0DAC" w:rsidP="00440B48">
      <w:pPr>
        <w:widowControl w:val="0"/>
        <w:tabs>
          <w:tab w:val="left" w:pos="1276"/>
        </w:tabs>
        <w:autoSpaceDE w:val="0"/>
        <w:autoSpaceDN w:val="0"/>
        <w:spacing w:after="240" w:line="360" w:lineRule="auto"/>
        <w:ind w:right="105" w:firstLine="1418"/>
        <w:rPr>
          <w:sz w:val="28"/>
          <w:szCs w:val="28"/>
        </w:rPr>
      </w:pPr>
    </w:p>
    <w:p w14:paraId="47B64F48" w14:textId="4B0998E8" w:rsidR="000271B1" w:rsidRPr="00584314" w:rsidRDefault="000271B1" w:rsidP="003200DB">
      <w:pPr>
        <w:spacing w:before="360" w:after="360" w:line="360" w:lineRule="auto"/>
        <w:rPr>
          <w:b/>
          <w:sz w:val="28"/>
          <w:szCs w:val="28"/>
        </w:rPr>
      </w:pPr>
      <w:r w:rsidRPr="00584314">
        <w:rPr>
          <w:b/>
          <w:sz w:val="28"/>
          <w:szCs w:val="28"/>
        </w:rPr>
        <w:lastRenderedPageBreak/>
        <w:t>I</w:t>
      </w:r>
      <w:r w:rsidR="003C73CA" w:rsidRPr="00584314">
        <w:rPr>
          <w:b/>
          <w:sz w:val="28"/>
          <w:szCs w:val="28"/>
        </w:rPr>
        <w:t>II</w:t>
      </w:r>
      <w:r w:rsidRPr="00584314">
        <w:rPr>
          <w:b/>
          <w:sz w:val="28"/>
          <w:szCs w:val="28"/>
        </w:rPr>
        <w:t>. CONCLUSÃO</w:t>
      </w:r>
    </w:p>
    <w:p w14:paraId="138B8EB3" w14:textId="7E1B904A" w:rsidR="00440B48" w:rsidRPr="00440B48" w:rsidRDefault="00440B48" w:rsidP="00440B48">
      <w:pPr>
        <w:pStyle w:val="PargrafodaLista"/>
        <w:tabs>
          <w:tab w:val="left" w:pos="1193"/>
          <w:tab w:val="left" w:pos="1194"/>
        </w:tabs>
        <w:spacing w:after="240" w:line="360" w:lineRule="auto"/>
        <w:ind w:left="0" w:right="102" w:firstLine="1276"/>
        <w:rPr>
          <w:sz w:val="28"/>
          <w:szCs w:val="28"/>
        </w:rPr>
      </w:pPr>
      <w:r w:rsidRPr="00440B48">
        <w:rPr>
          <w:sz w:val="28"/>
          <w:szCs w:val="28"/>
        </w:rPr>
        <w:t xml:space="preserve">Ante o exposto, a Advocacia-Geral da União manifesta-se pela modulação dos efeitos da declaração de inconstitucionalidade do artigo 1º-F da Lei 9.494/97 no que tange ao índice de correção monetária aplicável nas condenações impostas à Fazenda Pública, fixando-se com termo inicial para eficácia da referida decisão a data do julgamento da modulação realizada nas </w:t>
      </w:r>
      <w:proofErr w:type="spellStart"/>
      <w:r w:rsidRPr="00440B48">
        <w:rPr>
          <w:sz w:val="28"/>
          <w:szCs w:val="28"/>
        </w:rPr>
        <w:t>ADIs</w:t>
      </w:r>
      <w:proofErr w:type="spellEnd"/>
      <w:r w:rsidRPr="00440B48">
        <w:rPr>
          <w:sz w:val="28"/>
          <w:szCs w:val="28"/>
        </w:rPr>
        <w:t xml:space="preserve"> 4425 e 4357 (25.03.2015), em contraposição à data que seria fixada em caso de efeitos </w:t>
      </w:r>
      <w:proofErr w:type="spellStart"/>
      <w:r w:rsidRPr="00440B48">
        <w:rPr>
          <w:i/>
          <w:sz w:val="28"/>
          <w:szCs w:val="28"/>
        </w:rPr>
        <w:t>ex</w:t>
      </w:r>
      <w:proofErr w:type="spellEnd"/>
      <w:r w:rsidRPr="00440B48">
        <w:rPr>
          <w:i/>
          <w:sz w:val="28"/>
          <w:szCs w:val="28"/>
        </w:rPr>
        <w:t xml:space="preserve"> </w:t>
      </w:r>
      <w:proofErr w:type="spellStart"/>
      <w:r w:rsidRPr="00440B48">
        <w:rPr>
          <w:i/>
          <w:sz w:val="28"/>
          <w:szCs w:val="28"/>
        </w:rPr>
        <w:t>tunc</w:t>
      </w:r>
      <w:proofErr w:type="spellEnd"/>
      <w:r w:rsidRPr="00440B48">
        <w:rPr>
          <w:i/>
          <w:sz w:val="28"/>
          <w:szCs w:val="28"/>
        </w:rPr>
        <w:t xml:space="preserve">, </w:t>
      </w:r>
      <w:r w:rsidRPr="00440B48">
        <w:rPr>
          <w:sz w:val="28"/>
          <w:szCs w:val="28"/>
        </w:rPr>
        <w:t>qual seja, 30.06.2009, início da vigência do dispositivo</w:t>
      </w:r>
      <w:r w:rsidRPr="00440B48">
        <w:rPr>
          <w:spacing w:val="-3"/>
          <w:sz w:val="28"/>
          <w:szCs w:val="28"/>
        </w:rPr>
        <w:t xml:space="preserve"> </w:t>
      </w:r>
      <w:r w:rsidRPr="00440B48">
        <w:rPr>
          <w:sz w:val="28"/>
          <w:szCs w:val="28"/>
        </w:rPr>
        <w:t>legal.</w:t>
      </w:r>
    </w:p>
    <w:p w14:paraId="380C49A9" w14:textId="577571DD" w:rsidR="003B3D77" w:rsidRPr="006F5EB5" w:rsidRDefault="003B3D77" w:rsidP="006F5EB5">
      <w:pPr>
        <w:tabs>
          <w:tab w:val="left" w:pos="0"/>
        </w:tabs>
        <w:spacing w:before="120" w:after="120" w:line="360" w:lineRule="auto"/>
        <w:ind w:firstLine="1418"/>
        <w:rPr>
          <w:sz w:val="28"/>
          <w:szCs w:val="28"/>
        </w:rPr>
      </w:pPr>
    </w:p>
    <w:p w14:paraId="562D0E49" w14:textId="7343FD6C" w:rsidR="00B05079" w:rsidRDefault="00B05079" w:rsidP="00B05079">
      <w:pPr>
        <w:spacing w:before="120" w:after="120" w:line="360" w:lineRule="auto"/>
        <w:ind w:firstLine="141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Brasília,   </w:t>
      </w:r>
      <w:proofErr w:type="gramEnd"/>
      <w:r>
        <w:rPr>
          <w:sz w:val="28"/>
          <w:szCs w:val="28"/>
        </w:rPr>
        <w:t xml:space="preserve">   </w:t>
      </w:r>
      <w:r w:rsidR="00ED0DAC">
        <w:rPr>
          <w:sz w:val="28"/>
          <w:szCs w:val="28"/>
        </w:rPr>
        <w:t>de março</w:t>
      </w:r>
      <w:r>
        <w:rPr>
          <w:sz w:val="28"/>
          <w:szCs w:val="28"/>
        </w:rPr>
        <w:t xml:space="preserve"> de 2019.</w:t>
      </w:r>
    </w:p>
    <w:p w14:paraId="1989FD6F" w14:textId="77777777" w:rsidR="00B05079" w:rsidRDefault="00B05079" w:rsidP="00B05079">
      <w:pPr>
        <w:spacing w:before="120" w:after="120" w:line="360" w:lineRule="auto"/>
        <w:ind w:firstLine="1134"/>
        <w:rPr>
          <w:sz w:val="28"/>
          <w:szCs w:val="28"/>
        </w:rPr>
      </w:pPr>
    </w:p>
    <w:p w14:paraId="5DCC48EA" w14:textId="77777777" w:rsidR="00B05079" w:rsidRDefault="00B05079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ANDRÉ LUIZ DE ALMEIDA MENDONÇA</w:t>
      </w:r>
    </w:p>
    <w:p w14:paraId="01161EB1" w14:textId="77777777" w:rsidR="00B05079" w:rsidRDefault="00B05079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Advogado-Geral da União</w:t>
      </w:r>
    </w:p>
    <w:p w14:paraId="48A40C12" w14:textId="77777777" w:rsidR="00B05079" w:rsidRDefault="00B05079" w:rsidP="00B05079">
      <w:pPr>
        <w:jc w:val="center"/>
        <w:rPr>
          <w:sz w:val="28"/>
          <w:szCs w:val="28"/>
        </w:rPr>
      </w:pPr>
    </w:p>
    <w:p w14:paraId="586FE8FA" w14:textId="77777777" w:rsidR="00B05079" w:rsidRDefault="00B05079" w:rsidP="00B05079">
      <w:pPr>
        <w:jc w:val="center"/>
        <w:rPr>
          <w:sz w:val="28"/>
          <w:szCs w:val="28"/>
        </w:rPr>
      </w:pPr>
    </w:p>
    <w:p w14:paraId="5849AD57" w14:textId="77777777" w:rsidR="00B05079" w:rsidRDefault="00B05079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IZABEL VINCHON NOGUEIRA DE ANDRADE</w:t>
      </w:r>
    </w:p>
    <w:p w14:paraId="14535864" w14:textId="77777777" w:rsidR="00B05079" w:rsidRDefault="00B05079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Secretária-Geral de Contencioso</w:t>
      </w:r>
    </w:p>
    <w:p w14:paraId="5C72B6DD" w14:textId="77777777" w:rsidR="00B05079" w:rsidRDefault="00B05079" w:rsidP="00B05079">
      <w:pPr>
        <w:jc w:val="center"/>
        <w:rPr>
          <w:sz w:val="28"/>
          <w:szCs w:val="28"/>
        </w:rPr>
      </w:pPr>
    </w:p>
    <w:p w14:paraId="37DE2184" w14:textId="2D026980" w:rsidR="00B05079" w:rsidRDefault="00B05079" w:rsidP="00B05079">
      <w:pPr>
        <w:jc w:val="center"/>
        <w:rPr>
          <w:sz w:val="28"/>
          <w:szCs w:val="28"/>
        </w:rPr>
      </w:pPr>
    </w:p>
    <w:p w14:paraId="50962B3E" w14:textId="2B898B7E" w:rsidR="00FA5702" w:rsidRDefault="00FA5702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ISADORA MARIA B. R. CARTAXO DE ARRUDA</w:t>
      </w:r>
    </w:p>
    <w:p w14:paraId="596507CC" w14:textId="5F5AAD12" w:rsidR="00FA5702" w:rsidRDefault="00FA5702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Advogada da União</w:t>
      </w:r>
    </w:p>
    <w:p w14:paraId="56B91F56" w14:textId="16388C94" w:rsidR="00FA5702" w:rsidRDefault="00FA5702" w:rsidP="00B05079">
      <w:pPr>
        <w:jc w:val="center"/>
        <w:rPr>
          <w:sz w:val="28"/>
          <w:szCs w:val="28"/>
        </w:rPr>
      </w:pPr>
      <w:r>
        <w:rPr>
          <w:sz w:val="28"/>
          <w:szCs w:val="28"/>
        </w:rPr>
        <w:t>Diretora do DAE/SGCT</w:t>
      </w:r>
    </w:p>
    <w:p w14:paraId="7B42216A" w14:textId="6666A9C7" w:rsidR="00FA5702" w:rsidRDefault="00FA5702" w:rsidP="00B05079">
      <w:pPr>
        <w:jc w:val="center"/>
        <w:rPr>
          <w:sz w:val="28"/>
          <w:szCs w:val="28"/>
        </w:rPr>
      </w:pPr>
    </w:p>
    <w:p w14:paraId="0B8C2704" w14:textId="77777777" w:rsidR="00FA5702" w:rsidRDefault="00FA5702" w:rsidP="00B05079">
      <w:pPr>
        <w:jc w:val="center"/>
        <w:rPr>
          <w:sz w:val="28"/>
          <w:szCs w:val="28"/>
        </w:rPr>
      </w:pPr>
    </w:p>
    <w:p w14:paraId="1828A1CD" w14:textId="77777777" w:rsidR="00FA5702" w:rsidRPr="00FA5702" w:rsidRDefault="00FA5702" w:rsidP="00FA5702">
      <w:pPr>
        <w:ind w:right="-1"/>
        <w:jc w:val="center"/>
        <w:rPr>
          <w:sz w:val="28"/>
          <w:szCs w:val="28"/>
        </w:rPr>
      </w:pPr>
      <w:r w:rsidRPr="00FA5702">
        <w:rPr>
          <w:sz w:val="28"/>
          <w:szCs w:val="28"/>
        </w:rPr>
        <w:t>MARCELA DE ANDRADE SOARES MARENSI</w:t>
      </w:r>
    </w:p>
    <w:p w14:paraId="69D3FFE0" w14:textId="366BD230" w:rsidR="00FA5702" w:rsidRDefault="00FA5702" w:rsidP="00FE359C">
      <w:pPr>
        <w:spacing w:line="274" w:lineRule="exact"/>
        <w:ind w:right="-1"/>
        <w:jc w:val="center"/>
        <w:rPr>
          <w:sz w:val="28"/>
          <w:szCs w:val="28"/>
        </w:rPr>
      </w:pPr>
      <w:r w:rsidRPr="00FA5702">
        <w:rPr>
          <w:sz w:val="28"/>
          <w:szCs w:val="28"/>
        </w:rPr>
        <w:t>Procuradora Federal</w:t>
      </w:r>
    </w:p>
    <w:p w14:paraId="616B3C79" w14:textId="416669A6" w:rsidR="00FA5702" w:rsidRDefault="00FA5702" w:rsidP="00FA5702">
      <w:pPr>
        <w:spacing w:line="274" w:lineRule="exact"/>
        <w:ind w:right="2184"/>
        <w:jc w:val="center"/>
        <w:rPr>
          <w:sz w:val="28"/>
          <w:szCs w:val="28"/>
        </w:rPr>
      </w:pPr>
    </w:p>
    <w:p w14:paraId="0AD23566" w14:textId="3D572E18" w:rsidR="001137A2" w:rsidRPr="00FA5702" w:rsidRDefault="001137A2" w:rsidP="00B05079">
      <w:pPr>
        <w:jc w:val="center"/>
        <w:rPr>
          <w:sz w:val="28"/>
          <w:szCs w:val="28"/>
        </w:rPr>
      </w:pPr>
    </w:p>
    <w:p w14:paraId="549036B8" w14:textId="3B900F2E" w:rsidR="001137A2" w:rsidRDefault="001137A2" w:rsidP="00B05079">
      <w:pPr>
        <w:jc w:val="center"/>
        <w:rPr>
          <w:sz w:val="28"/>
          <w:szCs w:val="28"/>
        </w:rPr>
      </w:pPr>
    </w:p>
    <w:p w14:paraId="20A3257D" w14:textId="77777777" w:rsidR="001137A2" w:rsidRPr="00B05079" w:rsidRDefault="001137A2" w:rsidP="00B05079">
      <w:pPr>
        <w:jc w:val="center"/>
        <w:rPr>
          <w:sz w:val="28"/>
          <w:szCs w:val="28"/>
        </w:rPr>
      </w:pPr>
    </w:p>
    <w:sectPr w:rsidR="001137A2" w:rsidRPr="00B05079" w:rsidSect="00E21203">
      <w:footerReference w:type="default" r:id="rId10"/>
      <w:head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937E" w14:textId="77777777" w:rsidR="00BF681A" w:rsidRDefault="00BF681A" w:rsidP="00FE1CB7">
      <w:r>
        <w:separator/>
      </w:r>
    </w:p>
  </w:endnote>
  <w:endnote w:type="continuationSeparator" w:id="0">
    <w:p w14:paraId="2A763B8F" w14:textId="77777777" w:rsidR="00BF681A" w:rsidRDefault="00BF681A" w:rsidP="00F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Liberation Mono"/>
    <w:panose1 w:val="0000040000000000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65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552EB6" w14:textId="5547A941" w:rsidR="00800019" w:rsidRDefault="00800019">
        <w:pPr>
          <w:pStyle w:val="Rodap"/>
          <w:jc w:val="right"/>
        </w:pPr>
        <w:r w:rsidRPr="00DD63A8">
          <w:rPr>
            <w:sz w:val="20"/>
            <w:szCs w:val="20"/>
          </w:rPr>
          <w:fldChar w:fldCharType="begin"/>
        </w:r>
        <w:r w:rsidRPr="00DD63A8">
          <w:rPr>
            <w:sz w:val="20"/>
            <w:szCs w:val="20"/>
          </w:rPr>
          <w:instrText>PAGE   \* MERGEFORMAT</w:instrText>
        </w:r>
        <w:r w:rsidRPr="00DD63A8">
          <w:rPr>
            <w:sz w:val="20"/>
            <w:szCs w:val="20"/>
          </w:rPr>
          <w:fldChar w:fldCharType="separate"/>
        </w:r>
        <w:r w:rsidR="00791075">
          <w:rPr>
            <w:noProof/>
            <w:sz w:val="20"/>
            <w:szCs w:val="20"/>
          </w:rPr>
          <w:t>12</w:t>
        </w:r>
        <w:r w:rsidRPr="00DD63A8">
          <w:rPr>
            <w:sz w:val="20"/>
            <w:szCs w:val="20"/>
          </w:rPr>
          <w:fldChar w:fldCharType="end"/>
        </w:r>
      </w:p>
    </w:sdtContent>
  </w:sdt>
  <w:p w14:paraId="5FEDF3ED" w14:textId="3A80C03B" w:rsidR="00800019" w:rsidRPr="001C56C3" w:rsidRDefault="00004A72">
    <w:pPr>
      <w:pStyle w:val="Rodap"/>
      <w:rPr>
        <w:i/>
        <w:sz w:val="20"/>
        <w:szCs w:val="20"/>
        <w:lang w:val="es-MX"/>
      </w:rPr>
    </w:pPr>
    <w:r>
      <w:rPr>
        <w:i/>
        <w:sz w:val="20"/>
        <w:szCs w:val="20"/>
      </w:rPr>
      <w:t>RE 870947</w:t>
    </w:r>
    <w:r w:rsidR="00E21203" w:rsidRPr="001C56C3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D0A4" w14:textId="77777777" w:rsidR="00BF681A" w:rsidRDefault="00BF681A" w:rsidP="00FE1CB7">
      <w:r>
        <w:separator/>
      </w:r>
    </w:p>
  </w:footnote>
  <w:footnote w:type="continuationSeparator" w:id="0">
    <w:p w14:paraId="162358F1" w14:textId="77777777" w:rsidR="00BF681A" w:rsidRDefault="00BF681A" w:rsidP="00FE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BF5F" w14:textId="44AC5C08" w:rsidR="00800019" w:rsidRDefault="00800019" w:rsidP="00BE6E6D">
    <w:pPr>
      <w:pStyle w:val="Cabealho"/>
      <w:ind w:left="6237"/>
      <w:jc w:val="center"/>
      <w:rPr>
        <w:noProof/>
      </w:rPr>
    </w:pPr>
    <w:r>
      <w:rPr>
        <w:noProof/>
      </w:rPr>
      <w:t xml:space="preserve"> </w:t>
    </w:r>
  </w:p>
  <w:p w14:paraId="6163C38A" w14:textId="77777777" w:rsidR="00800019" w:rsidRDefault="00800019" w:rsidP="0070155F">
    <w:pPr>
      <w:pStyle w:val="Cabealho"/>
      <w:jc w:val="center"/>
    </w:pPr>
    <w:r w:rsidRPr="00ED08E8">
      <w:rPr>
        <w:noProof/>
      </w:rPr>
      <w:drawing>
        <wp:inline distT="0" distB="0" distL="0" distR="0" wp14:anchorId="3BD876AF" wp14:editId="7A4DE7AB">
          <wp:extent cx="962025" cy="87439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439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517D51" w14:textId="77777777" w:rsidR="00800019" w:rsidRPr="006F5EB5" w:rsidRDefault="00800019" w:rsidP="00A73635">
    <w:pPr>
      <w:pStyle w:val="Cabealho"/>
      <w:jc w:val="center"/>
      <w:rPr>
        <w:smallCaps/>
        <w:sz w:val="28"/>
        <w:szCs w:val="28"/>
      </w:rPr>
    </w:pPr>
    <w:r w:rsidRPr="006F5EB5">
      <w:rPr>
        <w:smallCaps/>
        <w:sz w:val="28"/>
        <w:szCs w:val="28"/>
      </w:rPr>
      <w:t>Advocacia-Geral da União</w:t>
    </w:r>
  </w:p>
  <w:p w14:paraId="104173C1" w14:textId="05C09D07" w:rsidR="00800019" w:rsidRPr="006F5EB5" w:rsidRDefault="00800019" w:rsidP="00A73635">
    <w:pPr>
      <w:pStyle w:val="Cabealho"/>
      <w:jc w:val="center"/>
      <w:rPr>
        <w:smallCaps/>
        <w:sz w:val="28"/>
        <w:szCs w:val="28"/>
      </w:rPr>
    </w:pPr>
  </w:p>
  <w:p w14:paraId="3A027919" w14:textId="77777777" w:rsidR="00800019" w:rsidRPr="006F5EB5" w:rsidRDefault="00800019">
    <w:pPr>
      <w:pStyle w:val="Cabealh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ACA"/>
    <w:multiLevelType w:val="hybridMultilevel"/>
    <w:tmpl w:val="CA3AC29A"/>
    <w:lvl w:ilvl="0" w:tplc="4BE4C61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7D9"/>
    <w:multiLevelType w:val="hybridMultilevel"/>
    <w:tmpl w:val="5ADAB9DA"/>
    <w:lvl w:ilvl="0" w:tplc="84F8A66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EA00661"/>
    <w:multiLevelType w:val="hybridMultilevel"/>
    <w:tmpl w:val="D878FC82"/>
    <w:lvl w:ilvl="0" w:tplc="A7A2895A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4196CED"/>
    <w:multiLevelType w:val="hybridMultilevel"/>
    <w:tmpl w:val="71F08E0A"/>
    <w:lvl w:ilvl="0" w:tplc="963048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47AE"/>
    <w:multiLevelType w:val="hybridMultilevel"/>
    <w:tmpl w:val="40EC2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4136"/>
    <w:multiLevelType w:val="hybridMultilevel"/>
    <w:tmpl w:val="64CEB2A4"/>
    <w:lvl w:ilvl="0" w:tplc="E7B48A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2257C"/>
    <w:multiLevelType w:val="hybridMultilevel"/>
    <w:tmpl w:val="28C21454"/>
    <w:lvl w:ilvl="0" w:tplc="8304D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90233"/>
    <w:multiLevelType w:val="hybridMultilevel"/>
    <w:tmpl w:val="09FEABA6"/>
    <w:lvl w:ilvl="0" w:tplc="9D684CAE">
      <w:start w:val="1"/>
      <w:numFmt w:val="decimal"/>
      <w:lvlText w:val="%1)"/>
      <w:lvlJc w:val="left"/>
      <w:pPr>
        <w:ind w:left="102" w:hanging="1092"/>
      </w:pPr>
      <w:rPr>
        <w:rFonts w:hint="default"/>
        <w:b w:val="0"/>
        <w:i w:val="0"/>
        <w:spacing w:val="-26"/>
        <w:w w:val="100"/>
        <w:lang w:val="pt-PT" w:eastAsia="pt-PT" w:bidi="pt-PT"/>
      </w:rPr>
    </w:lvl>
    <w:lvl w:ilvl="1" w:tplc="5CFC947E">
      <w:numFmt w:val="bullet"/>
      <w:lvlText w:val="•"/>
      <w:lvlJc w:val="left"/>
      <w:pPr>
        <w:ind w:left="1046" w:hanging="1092"/>
      </w:pPr>
      <w:rPr>
        <w:rFonts w:hint="default"/>
        <w:lang w:val="pt-PT" w:eastAsia="pt-PT" w:bidi="pt-PT"/>
      </w:rPr>
    </w:lvl>
    <w:lvl w:ilvl="2" w:tplc="0D0E0D12">
      <w:numFmt w:val="bullet"/>
      <w:lvlText w:val="•"/>
      <w:lvlJc w:val="left"/>
      <w:pPr>
        <w:ind w:left="1992" w:hanging="1092"/>
      </w:pPr>
      <w:rPr>
        <w:rFonts w:hint="default"/>
        <w:lang w:val="pt-PT" w:eastAsia="pt-PT" w:bidi="pt-PT"/>
      </w:rPr>
    </w:lvl>
    <w:lvl w:ilvl="3" w:tplc="AA44791A">
      <w:numFmt w:val="bullet"/>
      <w:lvlText w:val="•"/>
      <w:lvlJc w:val="left"/>
      <w:pPr>
        <w:ind w:left="2939" w:hanging="1092"/>
      </w:pPr>
      <w:rPr>
        <w:rFonts w:hint="default"/>
        <w:lang w:val="pt-PT" w:eastAsia="pt-PT" w:bidi="pt-PT"/>
      </w:rPr>
    </w:lvl>
    <w:lvl w:ilvl="4" w:tplc="4E82329A">
      <w:numFmt w:val="bullet"/>
      <w:lvlText w:val="•"/>
      <w:lvlJc w:val="left"/>
      <w:pPr>
        <w:ind w:left="3885" w:hanging="1092"/>
      </w:pPr>
      <w:rPr>
        <w:rFonts w:hint="default"/>
        <w:lang w:val="pt-PT" w:eastAsia="pt-PT" w:bidi="pt-PT"/>
      </w:rPr>
    </w:lvl>
    <w:lvl w:ilvl="5" w:tplc="C254B4FC">
      <w:numFmt w:val="bullet"/>
      <w:lvlText w:val="•"/>
      <w:lvlJc w:val="left"/>
      <w:pPr>
        <w:ind w:left="4832" w:hanging="1092"/>
      </w:pPr>
      <w:rPr>
        <w:rFonts w:hint="default"/>
        <w:lang w:val="pt-PT" w:eastAsia="pt-PT" w:bidi="pt-PT"/>
      </w:rPr>
    </w:lvl>
    <w:lvl w:ilvl="6" w:tplc="DCC293E6">
      <w:numFmt w:val="bullet"/>
      <w:lvlText w:val="•"/>
      <w:lvlJc w:val="left"/>
      <w:pPr>
        <w:ind w:left="5778" w:hanging="1092"/>
      </w:pPr>
      <w:rPr>
        <w:rFonts w:hint="default"/>
        <w:lang w:val="pt-PT" w:eastAsia="pt-PT" w:bidi="pt-PT"/>
      </w:rPr>
    </w:lvl>
    <w:lvl w:ilvl="7" w:tplc="76727006">
      <w:numFmt w:val="bullet"/>
      <w:lvlText w:val="•"/>
      <w:lvlJc w:val="left"/>
      <w:pPr>
        <w:ind w:left="6724" w:hanging="1092"/>
      </w:pPr>
      <w:rPr>
        <w:rFonts w:hint="default"/>
        <w:lang w:val="pt-PT" w:eastAsia="pt-PT" w:bidi="pt-PT"/>
      </w:rPr>
    </w:lvl>
    <w:lvl w:ilvl="8" w:tplc="2BAA7404">
      <w:numFmt w:val="bullet"/>
      <w:lvlText w:val="•"/>
      <w:lvlJc w:val="left"/>
      <w:pPr>
        <w:ind w:left="7671" w:hanging="1092"/>
      </w:pPr>
      <w:rPr>
        <w:rFonts w:hint="default"/>
        <w:lang w:val="pt-PT" w:eastAsia="pt-PT" w:bidi="pt-PT"/>
      </w:rPr>
    </w:lvl>
  </w:abstractNum>
  <w:abstractNum w:abstractNumId="8" w15:restartNumberingAfterBreak="0">
    <w:nsid w:val="74A1150C"/>
    <w:multiLevelType w:val="hybridMultilevel"/>
    <w:tmpl w:val="6B46E904"/>
    <w:lvl w:ilvl="0" w:tplc="C2ACB6D2">
      <w:start w:val="1"/>
      <w:numFmt w:val="decimal"/>
      <w:pStyle w:val="Ementadememori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1"/>
    <w:rsid w:val="000033E7"/>
    <w:rsid w:val="0000452C"/>
    <w:rsid w:val="00004A72"/>
    <w:rsid w:val="0001356D"/>
    <w:rsid w:val="00014B89"/>
    <w:rsid w:val="0001518C"/>
    <w:rsid w:val="0002105D"/>
    <w:rsid w:val="000271B1"/>
    <w:rsid w:val="00027E03"/>
    <w:rsid w:val="0003638E"/>
    <w:rsid w:val="00041B74"/>
    <w:rsid w:val="00041E67"/>
    <w:rsid w:val="00043D44"/>
    <w:rsid w:val="00044D59"/>
    <w:rsid w:val="00045E63"/>
    <w:rsid w:val="0005288E"/>
    <w:rsid w:val="0005316B"/>
    <w:rsid w:val="000544AF"/>
    <w:rsid w:val="00054A3E"/>
    <w:rsid w:val="00057067"/>
    <w:rsid w:val="00075A6E"/>
    <w:rsid w:val="000805F6"/>
    <w:rsid w:val="000808AC"/>
    <w:rsid w:val="00092554"/>
    <w:rsid w:val="00096D10"/>
    <w:rsid w:val="000B3B2B"/>
    <w:rsid w:val="000B4889"/>
    <w:rsid w:val="000C28FB"/>
    <w:rsid w:val="000D4BA6"/>
    <w:rsid w:val="000D7F7A"/>
    <w:rsid w:val="000E140E"/>
    <w:rsid w:val="000F2980"/>
    <w:rsid w:val="000F2A26"/>
    <w:rsid w:val="00100F12"/>
    <w:rsid w:val="00106DB7"/>
    <w:rsid w:val="001119F2"/>
    <w:rsid w:val="001137A2"/>
    <w:rsid w:val="00114EF2"/>
    <w:rsid w:val="00117B1F"/>
    <w:rsid w:val="001243AA"/>
    <w:rsid w:val="00124BB9"/>
    <w:rsid w:val="00153DB2"/>
    <w:rsid w:val="001551FE"/>
    <w:rsid w:val="001641EB"/>
    <w:rsid w:val="0016793D"/>
    <w:rsid w:val="00184AE2"/>
    <w:rsid w:val="0018592B"/>
    <w:rsid w:val="00190947"/>
    <w:rsid w:val="00193A17"/>
    <w:rsid w:val="001A0C4D"/>
    <w:rsid w:val="001A6DC0"/>
    <w:rsid w:val="001B18E4"/>
    <w:rsid w:val="001B3245"/>
    <w:rsid w:val="001B7830"/>
    <w:rsid w:val="001C56C3"/>
    <w:rsid w:val="001D59FD"/>
    <w:rsid w:val="001D6E25"/>
    <w:rsid w:val="001E1D1C"/>
    <w:rsid w:val="001E3328"/>
    <w:rsid w:val="001E498B"/>
    <w:rsid w:val="001E53C4"/>
    <w:rsid w:val="001E795D"/>
    <w:rsid w:val="001F11E9"/>
    <w:rsid w:val="001F1C52"/>
    <w:rsid w:val="00200871"/>
    <w:rsid w:val="00202F46"/>
    <w:rsid w:val="00214612"/>
    <w:rsid w:val="00215DAE"/>
    <w:rsid w:val="0021692C"/>
    <w:rsid w:val="002254B0"/>
    <w:rsid w:val="00235923"/>
    <w:rsid w:val="00237FCD"/>
    <w:rsid w:val="00243363"/>
    <w:rsid w:val="00245A41"/>
    <w:rsid w:val="00246E67"/>
    <w:rsid w:val="002601FE"/>
    <w:rsid w:val="0026151E"/>
    <w:rsid w:val="002632D4"/>
    <w:rsid w:val="00280DBC"/>
    <w:rsid w:val="00283021"/>
    <w:rsid w:val="0028327B"/>
    <w:rsid w:val="002920DE"/>
    <w:rsid w:val="002951E0"/>
    <w:rsid w:val="002971F4"/>
    <w:rsid w:val="00297766"/>
    <w:rsid w:val="002A054D"/>
    <w:rsid w:val="002B1EF2"/>
    <w:rsid w:val="002C0D96"/>
    <w:rsid w:val="002D1131"/>
    <w:rsid w:val="002D4108"/>
    <w:rsid w:val="002E07FD"/>
    <w:rsid w:val="002E5492"/>
    <w:rsid w:val="002F2921"/>
    <w:rsid w:val="002F29C8"/>
    <w:rsid w:val="002F46D6"/>
    <w:rsid w:val="003171D8"/>
    <w:rsid w:val="003200DB"/>
    <w:rsid w:val="00325588"/>
    <w:rsid w:val="00332720"/>
    <w:rsid w:val="003360B9"/>
    <w:rsid w:val="00347840"/>
    <w:rsid w:val="003503AD"/>
    <w:rsid w:val="00355E65"/>
    <w:rsid w:val="00356DC2"/>
    <w:rsid w:val="0036777A"/>
    <w:rsid w:val="003738EF"/>
    <w:rsid w:val="00373FE0"/>
    <w:rsid w:val="00384B7C"/>
    <w:rsid w:val="003A319F"/>
    <w:rsid w:val="003A7999"/>
    <w:rsid w:val="003B1247"/>
    <w:rsid w:val="003B3D77"/>
    <w:rsid w:val="003B3E8B"/>
    <w:rsid w:val="003C3215"/>
    <w:rsid w:val="003C3B18"/>
    <w:rsid w:val="003C73CA"/>
    <w:rsid w:val="003D1A92"/>
    <w:rsid w:val="003E21FC"/>
    <w:rsid w:val="003E640C"/>
    <w:rsid w:val="003E780F"/>
    <w:rsid w:val="003F0011"/>
    <w:rsid w:val="003F2B4A"/>
    <w:rsid w:val="00417EB8"/>
    <w:rsid w:val="004277AA"/>
    <w:rsid w:val="00440B48"/>
    <w:rsid w:val="00450D75"/>
    <w:rsid w:val="00452240"/>
    <w:rsid w:val="0045459A"/>
    <w:rsid w:val="00454732"/>
    <w:rsid w:val="0046793D"/>
    <w:rsid w:val="00471A04"/>
    <w:rsid w:val="004724BB"/>
    <w:rsid w:val="00473FE2"/>
    <w:rsid w:val="004807A2"/>
    <w:rsid w:val="00490FFF"/>
    <w:rsid w:val="00491BC0"/>
    <w:rsid w:val="004A0093"/>
    <w:rsid w:val="004B2F48"/>
    <w:rsid w:val="004C290E"/>
    <w:rsid w:val="004D13B5"/>
    <w:rsid w:val="004E17D5"/>
    <w:rsid w:val="004E25C2"/>
    <w:rsid w:val="004E5566"/>
    <w:rsid w:val="004F4DC3"/>
    <w:rsid w:val="00503D10"/>
    <w:rsid w:val="0051296B"/>
    <w:rsid w:val="00513F75"/>
    <w:rsid w:val="00514397"/>
    <w:rsid w:val="005210F4"/>
    <w:rsid w:val="0052746F"/>
    <w:rsid w:val="00527FAE"/>
    <w:rsid w:val="0053554C"/>
    <w:rsid w:val="00535CC1"/>
    <w:rsid w:val="00535E46"/>
    <w:rsid w:val="005462F3"/>
    <w:rsid w:val="00554CE9"/>
    <w:rsid w:val="00555189"/>
    <w:rsid w:val="00564F18"/>
    <w:rsid w:val="00567105"/>
    <w:rsid w:val="00567180"/>
    <w:rsid w:val="00580049"/>
    <w:rsid w:val="00581955"/>
    <w:rsid w:val="00584314"/>
    <w:rsid w:val="00585FF5"/>
    <w:rsid w:val="005A338A"/>
    <w:rsid w:val="005B44F1"/>
    <w:rsid w:val="005C64D0"/>
    <w:rsid w:val="005C76EB"/>
    <w:rsid w:val="005D37EE"/>
    <w:rsid w:val="005E5C8D"/>
    <w:rsid w:val="005F280F"/>
    <w:rsid w:val="005F51FD"/>
    <w:rsid w:val="00602A04"/>
    <w:rsid w:val="006121EA"/>
    <w:rsid w:val="00621ED3"/>
    <w:rsid w:val="0062201E"/>
    <w:rsid w:val="006263B6"/>
    <w:rsid w:val="0063273B"/>
    <w:rsid w:val="0063723E"/>
    <w:rsid w:val="00637E39"/>
    <w:rsid w:val="0064440F"/>
    <w:rsid w:val="00650C62"/>
    <w:rsid w:val="00651AB9"/>
    <w:rsid w:val="006525D9"/>
    <w:rsid w:val="00656FE0"/>
    <w:rsid w:val="006570AE"/>
    <w:rsid w:val="00664545"/>
    <w:rsid w:val="00673633"/>
    <w:rsid w:val="0068629F"/>
    <w:rsid w:val="00690E18"/>
    <w:rsid w:val="006A1BBE"/>
    <w:rsid w:val="006A4220"/>
    <w:rsid w:val="006A6F73"/>
    <w:rsid w:val="006B0BC4"/>
    <w:rsid w:val="006B259A"/>
    <w:rsid w:val="006B5721"/>
    <w:rsid w:val="006C5654"/>
    <w:rsid w:val="006C5B6A"/>
    <w:rsid w:val="006D2403"/>
    <w:rsid w:val="006D4FDF"/>
    <w:rsid w:val="006E1946"/>
    <w:rsid w:val="006F5EB5"/>
    <w:rsid w:val="0070155F"/>
    <w:rsid w:val="0070289D"/>
    <w:rsid w:val="007115A1"/>
    <w:rsid w:val="00713A0A"/>
    <w:rsid w:val="00713EF8"/>
    <w:rsid w:val="007205B3"/>
    <w:rsid w:val="00730314"/>
    <w:rsid w:val="0073061F"/>
    <w:rsid w:val="007325E3"/>
    <w:rsid w:val="00737480"/>
    <w:rsid w:val="00737C1A"/>
    <w:rsid w:val="0074031B"/>
    <w:rsid w:val="00750F6D"/>
    <w:rsid w:val="00751E4A"/>
    <w:rsid w:val="007571F3"/>
    <w:rsid w:val="00766710"/>
    <w:rsid w:val="007674F9"/>
    <w:rsid w:val="00770A37"/>
    <w:rsid w:val="00774947"/>
    <w:rsid w:val="00791075"/>
    <w:rsid w:val="007954CF"/>
    <w:rsid w:val="00796793"/>
    <w:rsid w:val="007A6FED"/>
    <w:rsid w:val="007B144D"/>
    <w:rsid w:val="007B2E17"/>
    <w:rsid w:val="007C4705"/>
    <w:rsid w:val="007D1EE7"/>
    <w:rsid w:val="007D4E7B"/>
    <w:rsid w:val="007E7879"/>
    <w:rsid w:val="00800019"/>
    <w:rsid w:val="008073B4"/>
    <w:rsid w:val="008234CF"/>
    <w:rsid w:val="008279CE"/>
    <w:rsid w:val="00827A22"/>
    <w:rsid w:val="00834D53"/>
    <w:rsid w:val="00843558"/>
    <w:rsid w:val="00844EA8"/>
    <w:rsid w:val="00860278"/>
    <w:rsid w:val="008652C4"/>
    <w:rsid w:val="00873E63"/>
    <w:rsid w:val="008756FC"/>
    <w:rsid w:val="00885AAB"/>
    <w:rsid w:val="008949F3"/>
    <w:rsid w:val="00895F9A"/>
    <w:rsid w:val="008A1588"/>
    <w:rsid w:val="008A2798"/>
    <w:rsid w:val="008B158E"/>
    <w:rsid w:val="008B56AA"/>
    <w:rsid w:val="008C6D00"/>
    <w:rsid w:val="008D0E0C"/>
    <w:rsid w:val="008D1B58"/>
    <w:rsid w:val="008E1E62"/>
    <w:rsid w:val="008E2669"/>
    <w:rsid w:val="008F3E0D"/>
    <w:rsid w:val="008F6325"/>
    <w:rsid w:val="008F695B"/>
    <w:rsid w:val="00902A70"/>
    <w:rsid w:val="00914074"/>
    <w:rsid w:val="00915679"/>
    <w:rsid w:val="00925DAC"/>
    <w:rsid w:val="00942660"/>
    <w:rsid w:val="00944B76"/>
    <w:rsid w:val="00960535"/>
    <w:rsid w:val="00976BB4"/>
    <w:rsid w:val="009819DF"/>
    <w:rsid w:val="00986CC7"/>
    <w:rsid w:val="00991D19"/>
    <w:rsid w:val="00992FDD"/>
    <w:rsid w:val="009945EE"/>
    <w:rsid w:val="00994D54"/>
    <w:rsid w:val="00996027"/>
    <w:rsid w:val="00997EB8"/>
    <w:rsid w:val="009A4CC8"/>
    <w:rsid w:val="009C2BB6"/>
    <w:rsid w:val="009C65A1"/>
    <w:rsid w:val="009E4DFA"/>
    <w:rsid w:val="009F16B7"/>
    <w:rsid w:val="00A036ED"/>
    <w:rsid w:val="00A047F0"/>
    <w:rsid w:val="00A05B2C"/>
    <w:rsid w:val="00A105B1"/>
    <w:rsid w:val="00A12A44"/>
    <w:rsid w:val="00A203F5"/>
    <w:rsid w:val="00A2290B"/>
    <w:rsid w:val="00A30F85"/>
    <w:rsid w:val="00A3737E"/>
    <w:rsid w:val="00A43AB5"/>
    <w:rsid w:val="00A44F70"/>
    <w:rsid w:val="00A53787"/>
    <w:rsid w:val="00A61155"/>
    <w:rsid w:val="00A61FD6"/>
    <w:rsid w:val="00A623D0"/>
    <w:rsid w:val="00A627D1"/>
    <w:rsid w:val="00A65EA9"/>
    <w:rsid w:val="00A66F1D"/>
    <w:rsid w:val="00A7113F"/>
    <w:rsid w:val="00A73635"/>
    <w:rsid w:val="00A774DE"/>
    <w:rsid w:val="00A82F8C"/>
    <w:rsid w:val="00A92F31"/>
    <w:rsid w:val="00A94892"/>
    <w:rsid w:val="00A94D76"/>
    <w:rsid w:val="00AA1D39"/>
    <w:rsid w:val="00AA252D"/>
    <w:rsid w:val="00AA3D6B"/>
    <w:rsid w:val="00AB0411"/>
    <w:rsid w:val="00AB4955"/>
    <w:rsid w:val="00AB4EDD"/>
    <w:rsid w:val="00AC1211"/>
    <w:rsid w:val="00AC3A15"/>
    <w:rsid w:val="00AC51E1"/>
    <w:rsid w:val="00AC7FA5"/>
    <w:rsid w:val="00AD6058"/>
    <w:rsid w:val="00AE1053"/>
    <w:rsid w:val="00AE4423"/>
    <w:rsid w:val="00AF18ED"/>
    <w:rsid w:val="00AF1E12"/>
    <w:rsid w:val="00AF230B"/>
    <w:rsid w:val="00B015A3"/>
    <w:rsid w:val="00B05079"/>
    <w:rsid w:val="00B05C29"/>
    <w:rsid w:val="00B13FB0"/>
    <w:rsid w:val="00B250A0"/>
    <w:rsid w:val="00B369CF"/>
    <w:rsid w:val="00B37E7B"/>
    <w:rsid w:val="00B45861"/>
    <w:rsid w:val="00B53962"/>
    <w:rsid w:val="00B55BA9"/>
    <w:rsid w:val="00B56919"/>
    <w:rsid w:val="00B57F2B"/>
    <w:rsid w:val="00B7363C"/>
    <w:rsid w:val="00B747D2"/>
    <w:rsid w:val="00B76CDA"/>
    <w:rsid w:val="00B81A94"/>
    <w:rsid w:val="00B83844"/>
    <w:rsid w:val="00B860BB"/>
    <w:rsid w:val="00B91595"/>
    <w:rsid w:val="00B94A54"/>
    <w:rsid w:val="00B951CA"/>
    <w:rsid w:val="00BA08E6"/>
    <w:rsid w:val="00BA2B92"/>
    <w:rsid w:val="00BB2A44"/>
    <w:rsid w:val="00BB6458"/>
    <w:rsid w:val="00BC4DC9"/>
    <w:rsid w:val="00BC5570"/>
    <w:rsid w:val="00BC5724"/>
    <w:rsid w:val="00BC6153"/>
    <w:rsid w:val="00BD0B35"/>
    <w:rsid w:val="00BD613D"/>
    <w:rsid w:val="00BE6466"/>
    <w:rsid w:val="00BE6E6D"/>
    <w:rsid w:val="00BE7A62"/>
    <w:rsid w:val="00BF681A"/>
    <w:rsid w:val="00C070C4"/>
    <w:rsid w:val="00C114E1"/>
    <w:rsid w:val="00C16899"/>
    <w:rsid w:val="00C26FC0"/>
    <w:rsid w:val="00C30F0E"/>
    <w:rsid w:val="00C35E98"/>
    <w:rsid w:val="00C444B3"/>
    <w:rsid w:val="00C4660D"/>
    <w:rsid w:val="00C5231B"/>
    <w:rsid w:val="00C52D58"/>
    <w:rsid w:val="00C6058A"/>
    <w:rsid w:val="00C61955"/>
    <w:rsid w:val="00C62251"/>
    <w:rsid w:val="00C71A97"/>
    <w:rsid w:val="00C76C37"/>
    <w:rsid w:val="00C7733F"/>
    <w:rsid w:val="00C81D6E"/>
    <w:rsid w:val="00C87634"/>
    <w:rsid w:val="00C878B4"/>
    <w:rsid w:val="00C94F58"/>
    <w:rsid w:val="00CA5291"/>
    <w:rsid w:val="00CA57AF"/>
    <w:rsid w:val="00CB6586"/>
    <w:rsid w:val="00CC3B4A"/>
    <w:rsid w:val="00CD0B26"/>
    <w:rsid w:val="00CD0D1A"/>
    <w:rsid w:val="00CD4825"/>
    <w:rsid w:val="00CD6451"/>
    <w:rsid w:val="00CE411F"/>
    <w:rsid w:val="00D004D7"/>
    <w:rsid w:val="00D004DC"/>
    <w:rsid w:val="00D1090F"/>
    <w:rsid w:val="00D1385E"/>
    <w:rsid w:val="00D13929"/>
    <w:rsid w:val="00D20BA3"/>
    <w:rsid w:val="00D2127B"/>
    <w:rsid w:val="00D23D09"/>
    <w:rsid w:val="00D27BE4"/>
    <w:rsid w:val="00D443DE"/>
    <w:rsid w:val="00D452EA"/>
    <w:rsid w:val="00D540F0"/>
    <w:rsid w:val="00D634C0"/>
    <w:rsid w:val="00D7763E"/>
    <w:rsid w:val="00D8279C"/>
    <w:rsid w:val="00D8313F"/>
    <w:rsid w:val="00D83CB7"/>
    <w:rsid w:val="00D87161"/>
    <w:rsid w:val="00D97416"/>
    <w:rsid w:val="00DA0106"/>
    <w:rsid w:val="00DA61D1"/>
    <w:rsid w:val="00DC6767"/>
    <w:rsid w:val="00DD2863"/>
    <w:rsid w:val="00DD38F0"/>
    <w:rsid w:val="00DD6156"/>
    <w:rsid w:val="00DD63A8"/>
    <w:rsid w:val="00DE5282"/>
    <w:rsid w:val="00DE7613"/>
    <w:rsid w:val="00DF67B3"/>
    <w:rsid w:val="00E04103"/>
    <w:rsid w:val="00E06234"/>
    <w:rsid w:val="00E150C5"/>
    <w:rsid w:val="00E174A2"/>
    <w:rsid w:val="00E21203"/>
    <w:rsid w:val="00E40FCD"/>
    <w:rsid w:val="00E44041"/>
    <w:rsid w:val="00E45B25"/>
    <w:rsid w:val="00E474E4"/>
    <w:rsid w:val="00E56A66"/>
    <w:rsid w:val="00E62581"/>
    <w:rsid w:val="00E64737"/>
    <w:rsid w:val="00E66150"/>
    <w:rsid w:val="00E713CE"/>
    <w:rsid w:val="00E723F3"/>
    <w:rsid w:val="00E91804"/>
    <w:rsid w:val="00E95CAB"/>
    <w:rsid w:val="00E97632"/>
    <w:rsid w:val="00EA0EEF"/>
    <w:rsid w:val="00EB2586"/>
    <w:rsid w:val="00EC0A93"/>
    <w:rsid w:val="00EC1F7D"/>
    <w:rsid w:val="00EC4754"/>
    <w:rsid w:val="00EC6F2B"/>
    <w:rsid w:val="00ED0DAC"/>
    <w:rsid w:val="00ED1934"/>
    <w:rsid w:val="00ED1A0B"/>
    <w:rsid w:val="00EE2B4B"/>
    <w:rsid w:val="00F07597"/>
    <w:rsid w:val="00F12DCF"/>
    <w:rsid w:val="00F168E5"/>
    <w:rsid w:val="00F23FD1"/>
    <w:rsid w:val="00F25873"/>
    <w:rsid w:val="00F27109"/>
    <w:rsid w:val="00F32365"/>
    <w:rsid w:val="00F3370B"/>
    <w:rsid w:val="00F365CC"/>
    <w:rsid w:val="00F46758"/>
    <w:rsid w:val="00F51DC4"/>
    <w:rsid w:val="00F5474B"/>
    <w:rsid w:val="00F61C1E"/>
    <w:rsid w:val="00F67FD4"/>
    <w:rsid w:val="00F702C5"/>
    <w:rsid w:val="00F7314E"/>
    <w:rsid w:val="00F73CF3"/>
    <w:rsid w:val="00F748A8"/>
    <w:rsid w:val="00F7749A"/>
    <w:rsid w:val="00F8003F"/>
    <w:rsid w:val="00F978CF"/>
    <w:rsid w:val="00FA0593"/>
    <w:rsid w:val="00FA5702"/>
    <w:rsid w:val="00FA577C"/>
    <w:rsid w:val="00FB0BE9"/>
    <w:rsid w:val="00FB4EAF"/>
    <w:rsid w:val="00FC64B1"/>
    <w:rsid w:val="00FD6936"/>
    <w:rsid w:val="00FD7479"/>
    <w:rsid w:val="00FE0F83"/>
    <w:rsid w:val="00FE1CB7"/>
    <w:rsid w:val="00FE359C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E5660"/>
  <w15:chartTrackingRefBased/>
  <w15:docId w15:val="{BE7DCC52-4488-4FC8-BD07-907DE4E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71B1"/>
    <w:pPr>
      <w:spacing w:line="360" w:lineRule="auto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0271B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271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271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271B1"/>
    <w:pPr>
      <w:widowControl w:val="0"/>
      <w:suppressAutoHyphens/>
      <w:spacing w:after="120" w:line="480" w:lineRule="auto"/>
      <w:jc w:val="left"/>
    </w:pPr>
    <w:rPr>
      <w:rFonts w:eastAsia="Arial Unicode MS"/>
      <w:szCs w:val="20"/>
    </w:rPr>
  </w:style>
  <w:style w:type="paragraph" w:styleId="Textodenotaderodap">
    <w:name w:val="footnote text"/>
    <w:aliases w:val=" Char Char,fn,footnote text,Footnotes,ft,fn cafc,Footnote ak,Footnote Text Char,fn Char,footnote text Char,Footnotes Char,Footnote ak Char,footnote citation,Footnotes Char Char,Footnote Text Char Char,fn Char Char,Char Char,Char"/>
    <w:basedOn w:val="Normal"/>
    <w:link w:val="TextodenotaderodapChar"/>
    <w:unhideWhenUsed/>
    <w:rsid w:val="00FE1CB7"/>
    <w:rPr>
      <w:sz w:val="20"/>
      <w:szCs w:val="20"/>
    </w:rPr>
  </w:style>
  <w:style w:type="character" w:customStyle="1" w:styleId="TextodenotaderodapChar">
    <w:name w:val="Texto de nota de rodapé Char"/>
    <w:aliases w:val=" Char Char Char,fn Char1,footnote text Char1,Footnotes Char1,ft Char,fn cafc Char,Footnote ak Char1,Footnote Text Char Char1,fn Char Char1,footnote text Char Char,Footnotes Char Char1,Footnote ak Char Char,fn Char Char Char"/>
    <w:basedOn w:val="Fontepargpadro"/>
    <w:link w:val="Textodenotaderodap"/>
    <w:rsid w:val="00FE1C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aliases w:val="Ref,de nota al pie"/>
    <w:basedOn w:val="Fontepargpadro"/>
    <w:unhideWhenUsed/>
    <w:rsid w:val="00FE1CB7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6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615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661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4EDD"/>
    <w:pPr>
      <w:spacing w:before="100" w:beforeAutospacing="1" w:after="100" w:afterAutospacing="1"/>
      <w:jc w:val="left"/>
    </w:pPr>
  </w:style>
  <w:style w:type="paragraph" w:styleId="Cabealho">
    <w:name w:val="header"/>
    <w:aliases w:val="SRFCABEÇA"/>
    <w:basedOn w:val="Normal"/>
    <w:link w:val="CabealhoChar"/>
    <w:uiPriority w:val="99"/>
    <w:unhideWhenUsed/>
    <w:rsid w:val="00A73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SRFCABEÇA Char"/>
    <w:basedOn w:val="Fontepargpadro"/>
    <w:link w:val="Cabealho"/>
    <w:uiPriority w:val="99"/>
    <w:rsid w:val="00A736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3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6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5A6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67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7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83021"/>
    <w:rPr>
      <w:color w:val="0000FF"/>
      <w:u w:val="single"/>
    </w:rPr>
  </w:style>
  <w:style w:type="character" w:customStyle="1" w:styleId="highlightbrs4">
    <w:name w:val="highlightbrs4"/>
    <w:basedOn w:val="Fontepargpadro"/>
    <w:rsid w:val="00637E39"/>
    <w:rPr>
      <w:b/>
      <w:bCs/>
      <w:vanish w:val="0"/>
      <w:webHidden w:val="0"/>
      <w:color w:val="FF000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5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5D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WW-ContedodaTabela111111">
    <w:name w:val="WW-Conteúdo da Tabela111111"/>
    <w:basedOn w:val="Corpodetexto"/>
    <w:rsid w:val="00124BB9"/>
    <w:pPr>
      <w:widowControl w:val="0"/>
      <w:suppressLineNumbers/>
      <w:suppressAutoHyphens/>
      <w:spacing w:after="120" w:line="240" w:lineRule="auto"/>
      <w:jc w:val="left"/>
    </w:pPr>
    <w:rPr>
      <w:rFonts w:eastAsia="Arial Unicode MS"/>
      <w:sz w:val="24"/>
      <w:szCs w:val="20"/>
    </w:rPr>
  </w:style>
  <w:style w:type="table" w:styleId="Tabelacomgrade">
    <w:name w:val="Table Grid"/>
    <w:basedOn w:val="Tabelanormal"/>
    <w:uiPriority w:val="39"/>
    <w:rsid w:val="0070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autoRedefine/>
    <w:uiPriority w:val="29"/>
    <w:qFormat/>
    <w:rsid w:val="00450D75"/>
    <w:pPr>
      <w:widowControl w:val="0"/>
      <w:suppressAutoHyphens/>
      <w:ind w:left="2268"/>
    </w:pPr>
    <w:rPr>
      <w:iCs/>
      <w:color w:val="000000"/>
      <w:lang w:eastAsia="ar-SA"/>
    </w:rPr>
  </w:style>
  <w:style w:type="character" w:customStyle="1" w:styleId="CitaoChar">
    <w:name w:val="Citação Char"/>
    <w:basedOn w:val="Fontepargpadro"/>
    <w:link w:val="Citao"/>
    <w:uiPriority w:val="29"/>
    <w:rsid w:val="00450D75"/>
    <w:rPr>
      <w:rFonts w:ascii="Times New Roman" w:eastAsia="Times New Roman" w:hAnsi="Times New Roman" w:cs="Times New Roman"/>
      <w:iCs/>
      <w:color w:val="000000"/>
      <w:sz w:val="24"/>
      <w:szCs w:val="24"/>
      <w:lang w:eastAsia="ar-SA"/>
    </w:rPr>
  </w:style>
  <w:style w:type="paragraph" w:customStyle="1" w:styleId="western">
    <w:name w:val="western"/>
    <w:basedOn w:val="Normal"/>
    <w:rsid w:val="00B369CF"/>
    <w:pPr>
      <w:spacing w:before="100" w:beforeAutospacing="1" w:line="360" w:lineRule="auto"/>
    </w:pPr>
    <w:rPr>
      <w:sz w:val="28"/>
      <w:szCs w:val="28"/>
    </w:rPr>
  </w:style>
  <w:style w:type="paragraph" w:styleId="Corpodetexto2">
    <w:name w:val="Body Text 2"/>
    <w:basedOn w:val="Normal"/>
    <w:link w:val="Corpodetexto2Char"/>
    <w:rsid w:val="00D13929"/>
    <w:pPr>
      <w:spacing w:after="120" w:line="480" w:lineRule="auto"/>
      <w:jc w:val="left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139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3723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274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74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7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4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4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Ementadememorial">
    <w:name w:val="Ementa de memorial"/>
    <w:basedOn w:val="PargrafodaLista"/>
    <w:qFormat/>
    <w:rsid w:val="00BA08E6"/>
    <w:pPr>
      <w:numPr>
        <w:numId w:val="1"/>
      </w:numPr>
      <w:pBdr>
        <w:bottom w:val="single" w:sz="4" w:space="1" w:color="auto"/>
      </w:pBdr>
      <w:tabs>
        <w:tab w:val="left" w:pos="284"/>
      </w:tabs>
      <w:spacing w:before="60" w:after="200" w:line="360" w:lineRule="auto"/>
      <w:ind w:left="0" w:firstLine="0"/>
      <w:contextualSpacing w:val="0"/>
    </w:pPr>
    <w:rPr>
      <w:sz w:val="26"/>
      <w:szCs w:val="26"/>
    </w:rPr>
  </w:style>
  <w:style w:type="paragraph" w:customStyle="1" w:styleId="Ttuloemmemorial">
    <w:name w:val="Título em memorial"/>
    <w:basedOn w:val="Normal"/>
    <w:qFormat/>
    <w:rsid w:val="00BA2B92"/>
    <w:pPr>
      <w:spacing w:before="100" w:beforeAutospacing="1" w:after="100" w:afterAutospacing="1" w:line="360" w:lineRule="auto"/>
    </w:pPr>
    <w:rPr>
      <w:b/>
      <w:sz w:val="28"/>
      <w:szCs w:val="26"/>
    </w:rPr>
  </w:style>
  <w:style w:type="paragraph" w:customStyle="1" w:styleId="Textodepargrafoemmemorial">
    <w:name w:val="Texto de parágrafo em memorial"/>
    <w:basedOn w:val="Normal"/>
    <w:qFormat/>
    <w:rsid w:val="006F5EB5"/>
    <w:pPr>
      <w:spacing w:before="120" w:after="120" w:line="360" w:lineRule="auto"/>
      <w:ind w:firstLine="1418"/>
    </w:pPr>
    <w:rPr>
      <w:iCs/>
      <w:sz w:val="28"/>
      <w:szCs w:val="26"/>
    </w:rPr>
  </w:style>
  <w:style w:type="paragraph" w:customStyle="1" w:styleId="Citaoemmemorial">
    <w:name w:val="Citação em memorial"/>
    <w:basedOn w:val="Normal"/>
    <w:qFormat/>
    <w:rsid w:val="006F5EB5"/>
    <w:pPr>
      <w:spacing w:after="480"/>
      <w:ind w:left="2268"/>
    </w:pPr>
    <w:rPr>
      <w:rFonts w:cs="Tahoma"/>
    </w:rPr>
  </w:style>
  <w:style w:type="paragraph" w:customStyle="1" w:styleId="Normal1">
    <w:name w:val="Normal1"/>
    <w:rsid w:val="001C56C3"/>
    <w:pPr>
      <w:widowControl w:val="0"/>
      <w:spacing w:line="256" w:lineRule="auto"/>
    </w:pPr>
    <w:rPr>
      <w:rFonts w:ascii="Calibri" w:eastAsia="Calibri" w:hAnsi="Calibri" w:cs="Calibri"/>
      <w:color w:val="000000"/>
    </w:rPr>
  </w:style>
  <w:style w:type="paragraph" w:customStyle="1" w:styleId="Estilo1">
    <w:name w:val="Estilo1"/>
    <w:basedOn w:val="Ttuloemmemorial"/>
    <w:qFormat/>
    <w:rsid w:val="003200DB"/>
    <w:pPr>
      <w:spacing w:before="360" w:beforeAutospacing="0" w:after="360" w:afterAutospacing="0"/>
    </w:pPr>
    <w:rPr>
      <w:b w:val="0"/>
      <w:szCs w:val="28"/>
    </w:rPr>
  </w:style>
  <w:style w:type="paragraph" w:customStyle="1" w:styleId="Subttuloemmemorial">
    <w:name w:val="Subtítulo em memorial"/>
    <w:basedOn w:val="Textodepargrafoemmemorial"/>
    <w:qFormat/>
    <w:rsid w:val="002B1EF2"/>
    <w:pPr>
      <w:spacing w:before="360" w:after="360"/>
      <w:ind w:firstLine="0"/>
    </w:pPr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853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2459">
                          <w:marLeft w:val="25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23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C8CCD8"/>
                                <w:left w:val="single" w:sz="6" w:space="9" w:color="C8CCD8"/>
                                <w:bottom w:val="single" w:sz="6" w:space="8" w:color="C8CCD8"/>
                                <w:right w:val="single" w:sz="6" w:space="8" w:color="C8CCD8"/>
                              </w:divBdr>
                              <w:divsChild>
                                <w:div w:id="11795877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00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829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947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7211">
                          <w:marLeft w:val="25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80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C8CCD8"/>
                                <w:left w:val="single" w:sz="6" w:space="9" w:color="C8CCD8"/>
                                <w:bottom w:val="single" w:sz="6" w:space="8" w:color="C8CCD8"/>
                                <w:right w:val="single" w:sz="6" w:space="8" w:color="C8CCD8"/>
                              </w:divBdr>
                              <w:divsChild>
                                <w:div w:id="1662654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26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61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236D-D66E-4361-8AD7-C6E21327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2957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Guimaraes Franzini</dc:creator>
  <cp:keywords/>
  <dc:description/>
  <cp:lastModifiedBy>Izabel Vinchon Nogueira de Andrade</cp:lastModifiedBy>
  <cp:revision>17</cp:revision>
  <cp:lastPrinted>2019-04-03T21:02:00Z</cp:lastPrinted>
  <dcterms:created xsi:type="dcterms:W3CDTF">2019-03-29T13:20:00Z</dcterms:created>
  <dcterms:modified xsi:type="dcterms:W3CDTF">2019-04-03T21:05:00Z</dcterms:modified>
</cp:coreProperties>
</file>